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B" w:rsidRDefault="00062C77">
      <w:pPr>
        <w:spacing w:after="0" w:line="259" w:lineRule="auto"/>
        <w:ind w:right="87"/>
        <w:jc w:val="right"/>
      </w:pPr>
      <w:r>
        <w:t>SSC 197</w:t>
      </w:r>
      <w:bookmarkStart w:id="0" w:name="_GoBack"/>
      <w:bookmarkEnd w:id="0"/>
      <w:r>
        <w:t xml:space="preserve"> Student Success Course  </w:t>
      </w:r>
    </w:p>
    <w:p w:rsidR="0058600B" w:rsidRDefault="00062C77">
      <w:pPr>
        <w:spacing w:after="0" w:line="259" w:lineRule="auto"/>
        <w:ind w:right="87"/>
        <w:jc w:val="right"/>
      </w:pPr>
      <w:r>
        <w:t xml:space="preserve">Page 1 </w:t>
      </w:r>
    </w:p>
    <w:p w:rsidR="0058600B" w:rsidRDefault="00062C77">
      <w:pPr>
        <w:spacing w:after="0" w:line="259" w:lineRule="auto"/>
        <w:ind w:left="0" w:right="0" w:firstLine="0"/>
        <w:jc w:val="right"/>
      </w:pPr>
      <w:r>
        <w:t xml:space="preserve">  </w:t>
      </w:r>
    </w:p>
    <w:p w:rsidR="0058600B" w:rsidRDefault="00062C77">
      <w:pPr>
        <w:pStyle w:val="Heading1"/>
        <w:ind w:right="56"/>
      </w:pPr>
      <w:r>
        <w:t xml:space="preserve">ARIZONA WESTERN COLLEGE SYLLABUS  </w:t>
      </w:r>
    </w:p>
    <w:p w:rsidR="0058600B" w:rsidRDefault="00062C77">
      <w:pPr>
        <w:spacing w:after="0" w:line="259" w:lineRule="auto"/>
        <w:ind w:left="4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58600B" w:rsidRDefault="00062C77">
      <w:pPr>
        <w:spacing w:after="0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:rsidR="0058600B" w:rsidRDefault="00062C77">
      <w:pPr>
        <w:ind w:left="19" w:right="113"/>
      </w:pPr>
      <w:r>
        <w:t xml:space="preserve">SSC 101 Student Success Course  </w:t>
      </w:r>
    </w:p>
    <w:p w:rsidR="0058600B" w:rsidRDefault="00062C77">
      <w:pPr>
        <w:ind w:left="19" w:right="113"/>
      </w:pPr>
      <w:r>
        <w:t xml:space="preserve">Credit Hours:  </w:t>
      </w:r>
      <w:r>
        <w:rPr>
          <w:u w:val="single" w:color="000000"/>
        </w:rPr>
        <w:t>1</w:t>
      </w:r>
      <w:r>
        <w:t xml:space="preserve">    </w:t>
      </w:r>
      <w:proofErr w:type="spellStart"/>
      <w:r>
        <w:t>Lec</w:t>
      </w:r>
      <w:proofErr w:type="spellEnd"/>
      <w:r>
        <w:t xml:space="preserve"> </w:t>
      </w:r>
      <w:r>
        <w:rPr>
          <w:u w:val="single" w:color="000000"/>
        </w:rPr>
        <w:t>1</w:t>
      </w:r>
      <w:r>
        <w:t xml:space="preserve">  </w:t>
      </w:r>
    </w:p>
    <w:p w:rsidR="0058600B" w:rsidRDefault="00062C77">
      <w:pPr>
        <w:spacing w:after="0" w:line="259" w:lineRule="auto"/>
        <w:ind w:left="14" w:right="0" w:firstLine="0"/>
      </w:pPr>
      <w:r>
        <w:t xml:space="preserve">  </w:t>
      </w:r>
    </w:p>
    <w:p w:rsidR="0058600B" w:rsidRDefault="00062C77">
      <w:pPr>
        <w:ind w:left="19" w:right="113"/>
      </w:pPr>
      <w:r>
        <w:t xml:space="preserve">PREREQUISITE: None  </w:t>
      </w:r>
    </w:p>
    <w:p w:rsidR="0058600B" w:rsidRDefault="00062C77">
      <w:pPr>
        <w:spacing w:after="0" w:line="259" w:lineRule="auto"/>
        <w:ind w:left="14" w:right="0" w:firstLine="0"/>
      </w:pPr>
      <w:r>
        <w:rPr>
          <w:i/>
        </w:rPr>
        <w:t xml:space="preserve">  </w:t>
      </w:r>
      <w:r>
        <w:t xml:space="preserve"> </w:t>
      </w:r>
    </w:p>
    <w:p w:rsidR="0058600B" w:rsidRDefault="00062C77">
      <w:pPr>
        <w:spacing w:after="5" w:line="259" w:lineRule="auto"/>
        <w:ind w:left="-5" w:right="0"/>
      </w:pPr>
      <w:r>
        <w:rPr>
          <w:u w:val="single" w:color="000000"/>
        </w:rPr>
        <w:t>COURSE DESCRIPTION</w:t>
      </w:r>
      <w:r>
        <w:t xml:space="preserve">   </w:t>
      </w:r>
    </w:p>
    <w:p w:rsidR="0058600B" w:rsidRDefault="00062C77">
      <w:pPr>
        <w:ind w:left="19" w:right="113"/>
      </w:pPr>
      <w:r>
        <w:t>Exploration of transfer, career, and college success strategies for first-year AWC students. Includes exploration of majors and related career(s), learning strategies, academic and financial planning, and the keys to fostering academic success, degree comp</w:t>
      </w:r>
      <w:r>
        <w:t xml:space="preserve">letion, and transfer.  </w:t>
      </w:r>
    </w:p>
    <w:p w:rsidR="0058600B" w:rsidRDefault="00062C77">
      <w:pPr>
        <w:spacing w:after="1" w:line="259" w:lineRule="auto"/>
        <w:ind w:left="14" w:right="0" w:firstLine="0"/>
      </w:pPr>
      <w:r>
        <w:t xml:space="preserve">  </w:t>
      </w:r>
    </w:p>
    <w:p w:rsidR="0058600B" w:rsidRDefault="00062C77">
      <w:pPr>
        <w:numPr>
          <w:ilvl w:val="0"/>
          <w:numId w:val="1"/>
        </w:numPr>
        <w:spacing w:after="5" w:line="259" w:lineRule="auto"/>
        <w:ind w:right="0" w:hanging="559"/>
      </w:pPr>
      <w:r>
        <w:rPr>
          <w:u w:val="single" w:color="000000"/>
        </w:rPr>
        <w:t>COURSE GOAL</w:t>
      </w:r>
      <w:r>
        <w:t xml:space="preserve">   </w:t>
      </w:r>
    </w:p>
    <w:p w:rsidR="0058600B" w:rsidRDefault="00062C77">
      <w:pPr>
        <w:ind w:left="550" w:right="113"/>
      </w:pPr>
      <w:r>
        <w:t xml:space="preserve">Acquire the knowledge, skills, and habits necessary for college student success.  </w:t>
      </w:r>
    </w:p>
    <w:p w:rsidR="0058600B" w:rsidRDefault="00062C77">
      <w:pPr>
        <w:spacing w:after="1" w:line="259" w:lineRule="auto"/>
        <w:ind w:left="554" w:right="0" w:firstLine="0"/>
      </w:pPr>
      <w:r>
        <w:t xml:space="preserve">  </w:t>
      </w:r>
    </w:p>
    <w:p w:rsidR="0058600B" w:rsidRDefault="00062C77">
      <w:pPr>
        <w:numPr>
          <w:ilvl w:val="0"/>
          <w:numId w:val="1"/>
        </w:numPr>
        <w:spacing w:after="5" w:line="259" w:lineRule="auto"/>
        <w:ind w:right="0" w:hanging="559"/>
      </w:pPr>
      <w:r>
        <w:rPr>
          <w:u w:val="single" w:color="000000"/>
        </w:rPr>
        <w:t>OUTCOMES</w:t>
      </w:r>
      <w:r>
        <w:t xml:space="preserve">  </w:t>
      </w:r>
    </w:p>
    <w:p w:rsidR="0058600B" w:rsidRDefault="00062C77">
      <w:pPr>
        <w:ind w:left="550" w:right="113"/>
      </w:pPr>
      <w:r>
        <w:t xml:space="preserve">Upon satisfactory completion of this course, students will be able to: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Use assessment tools to choose a major course of study, degree, and university to achieve   </w:t>
      </w:r>
      <w:r>
        <w:tab/>
        <w:t xml:space="preserve"> </w:t>
      </w:r>
      <w:r>
        <w:tab/>
        <w:t xml:space="preserve"> </w:t>
      </w:r>
      <w:r>
        <w:tab/>
        <w:t xml:space="preserve">academic and career goals.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Create a plan for  </w:t>
      </w:r>
    </w:p>
    <w:p w:rsidR="0058600B" w:rsidRDefault="00062C77">
      <w:pPr>
        <w:numPr>
          <w:ilvl w:val="2"/>
          <w:numId w:val="1"/>
        </w:numPr>
        <w:ind w:right="113" w:hanging="201"/>
      </w:pPr>
      <w:r>
        <w:t xml:space="preserve">transfer based on the university application and admission processes, policies   </w:t>
      </w:r>
    </w:p>
    <w:p w:rsidR="0058600B" w:rsidRDefault="00062C77">
      <w:pPr>
        <w:tabs>
          <w:tab w:val="center" w:pos="374"/>
          <w:tab w:val="center" w:pos="734"/>
          <w:tab w:val="center" w:pos="1454"/>
          <w:tab w:val="center" w:pos="2571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and costs;  </w:t>
      </w:r>
    </w:p>
    <w:p w:rsidR="0058600B" w:rsidRDefault="00062C77">
      <w:pPr>
        <w:tabs>
          <w:tab w:val="center" w:pos="374"/>
          <w:tab w:val="center" w:pos="734"/>
          <w:tab w:val="center" w:pos="1454"/>
          <w:tab w:val="center" w:pos="2557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AND/OR </w:t>
      </w:r>
    </w:p>
    <w:p w:rsidR="0058600B" w:rsidRDefault="00062C77">
      <w:pPr>
        <w:numPr>
          <w:ilvl w:val="2"/>
          <w:numId w:val="1"/>
        </w:numPr>
        <w:ind w:right="113" w:hanging="201"/>
      </w:pPr>
      <w:r>
        <w:t xml:space="preserve">completion based on associates degree/certification requirements.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Identify and apply appropriate academic and behavior habits for goal attainment. </w:t>
      </w:r>
    </w:p>
    <w:p w:rsidR="0058600B" w:rsidRDefault="00062C77">
      <w:pPr>
        <w:spacing w:after="0" w:line="259" w:lineRule="auto"/>
        <w:ind w:left="14" w:right="0" w:firstLine="0"/>
      </w:pPr>
      <w:r>
        <w:t xml:space="preserve"> </w:t>
      </w:r>
    </w:p>
    <w:p w:rsidR="0058600B" w:rsidRDefault="00062C77">
      <w:pPr>
        <w:numPr>
          <w:ilvl w:val="0"/>
          <w:numId w:val="1"/>
        </w:numPr>
        <w:spacing w:after="5" w:line="259" w:lineRule="auto"/>
        <w:ind w:right="0" w:hanging="559"/>
      </w:pPr>
      <w:r>
        <w:rPr>
          <w:u w:val="single" w:color="000000"/>
        </w:rPr>
        <w:t>METHODS OF INSTRUCTION</w:t>
      </w:r>
      <w:r>
        <w:t xml:space="preserve"> 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Lecture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Group Discussion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Collaboration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Web learning tools demonstration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Web resources demonstration   </w:t>
      </w:r>
    </w:p>
    <w:p w:rsidR="0058600B" w:rsidRDefault="00062C77">
      <w:pPr>
        <w:spacing w:after="0" w:line="259" w:lineRule="auto"/>
        <w:ind w:left="734" w:right="0" w:firstLine="0"/>
      </w:pPr>
      <w:r>
        <w:t xml:space="preserve">  </w:t>
      </w:r>
    </w:p>
    <w:p w:rsidR="0058600B" w:rsidRDefault="00062C77">
      <w:pPr>
        <w:numPr>
          <w:ilvl w:val="0"/>
          <w:numId w:val="1"/>
        </w:numPr>
        <w:spacing w:after="5" w:line="259" w:lineRule="auto"/>
        <w:ind w:right="0" w:hanging="559"/>
      </w:pPr>
      <w:r>
        <w:rPr>
          <w:u w:val="single" w:color="000000"/>
        </w:rPr>
        <w:t>LEARNING ACTIVITIES</w:t>
      </w:r>
      <w:r>
        <w:t xml:space="preserve">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Self-Assessments for Work and Personal Values, Interests and Diversity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Researching Career Clusters and Relevant Majors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>Educational and Transition Planning for Dire</w:t>
      </w:r>
      <w:r>
        <w:t xml:space="preserve">ct Employment or Transfer Path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Learning and Time Management </w:t>
      </w:r>
      <w:proofErr w:type="gramStart"/>
      <w:r>
        <w:t xml:space="preserve">Strategies  </w:t>
      </w:r>
      <w:r>
        <w:tab/>
      </w:r>
      <w:proofErr w:type="gramEnd"/>
      <w:r>
        <w:t xml:space="preserve">4.5. </w:t>
      </w:r>
      <w:r>
        <w:tab/>
        <w:t xml:space="preserve">Resources for College and Career Planning </w:t>
      </w:r>
    </w:p>
    <w:p w:rsidR="0058600B" w:rsidRDefault="00062C77">
      <w:pPr>
        <w:spacing w:after="0" w:line="259" w:lineRule="auto"/>
        <w:ind w:left="14" w:right="0" w:firstLine="0"/>
      </w:pPr>
      <w:r>
        <w:t xml:space="preserve"> </w:t>
      </w:r>
    </w:p>
    <w:p w:rsidR="0058600B" w:rsidRDefault="00062C77">
      <w:pPr>
        <w:spacing w:after="0" w:line="259" w:lineRule="auto"/>
        <w:ind w:left="14" w:right="0" w:firstLine="0"/>
      </w:pPr>
      <w:r>
        <w:t xml:space="preserve">  </w:t>
      </w:r>
    </w:p>
    <w:p w:rsidR="0058600B" w:rsidRDefault="00062C77">
      <w:pPr>
        <w:numPr>
          <w:ilvl w:val="0"/>
          <w:numId w:val="1"/>
        </w:numPr>
        <w:spacing w:after="5" w:line="259" w:lineRule="auto"/>
        <w:ind w:right="0" w:hanging="559"/>
      </w:pPr>
      <w:r>
        <w:rPr>
          <w:u w:val="single" w:color="000000"/>
        </w:rPr>
        <w:t>EVALUATION</w:t>
      </w:r>
      <w:r>
        <w:t xml:space="preserve"> 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Academic Planning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In-class Activities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Out-of-class Activities </w:t>
      </w:r>
    </w:p>
    <w:p w:rsidR="0058600B" w:rsidRDefault="00062C77">
      <w:pPr>
        <w:numPr>
          <w:ilvl w:val="1"/>
          <w:numId w:val="1"/>
        </w:numPr>
        <w:ind w:right="113" w:hanging="950"/>
      </w:pPr>
      <w:r>
        <w:t xml:space="preserve">Final Written Reflection </w:t>
      </w:r>
    </w:p>
    <w:p w:rsidR="0058600B" w:rsidRDefault="00062C77">
      <w:pPr>
        <w:spacing w:after="0" w:line="259" w:lineRule="auto"/>
        <w:ind w:left="14" w:right="0" w:firstLine="0"/>
      </w:pPr>
      <w:r>
        <w:t xml:space="preserve">  </w:t>
      </w:r>
    </w:p>
    <w:p w:rsidR="0058600B" w:rsidRDefault="00062C77">
      <w:pPr>
        <w:spacing w:after="0" w:line="259" w:lineRule="auto"/>
        <w:ind w:left="14" w:right="0" w:firstLine="0"/>
      </w:pPr>
      <w:r>
        <w:t xml:space="preserve">  </w:t>
      </w:r>
    </w:p>
    <w:sectPr w:rsidR="0058600B">
      <w:pgSz w:w="12240" w:h="15840"/>
      <w:pgMar w:top="1440" w:right="1323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E5FB8"/>
    <w:multiLevelType w:val="multilevel"/>
    <w:tmpl w:val="BDC85B56"/>
    <w:lvl w:ilvl="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0B"/>
    <w:rsid w:val="00062C77"/>
    <w:rsid w:val="000C77B6"/>
    <w:rsid w:val="005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E1A2"/>
  <w15:docId w15:val="{6F3B7D86-BA67-44CB-B24F-043D78B4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right="10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 Riek</dc:creator>
  <cp:keywords/>
  <cp:lastModifiedBy>Ellen K Riek</cp:lastModifiedBy>
  <cp:revision>3</cp:revision>
  <dcterms:created xsi:type="dcterms:W3CDTF">2020-02-24T21:06:00Z</dcterms:created>
  <dcterms:modified xsi:type="dcterms:W3CDTF">2020-02-24T21:07:00Z</dcterms:modified>
</cp:coreProperties>
</file>