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11D" w:rsidRPr="00103035" w:rsidRDefault="00031192" w:rsidP="00F06F1D">
      <w:pPr>
        <w:autoSpaceDE w:val="0"/>
        <w:autoSpaceDN w:val="0"/>
        <w:adjustRightInd w:val="0"/>
        <w:rPr>
          <w:i/>
          <w:color w:val="000000"/>
        </w:rPr>
      </w:pPr>
      <w:r>
        <w:rPr>
          <w:color w:val="000000"/>
        </w:rPr>
        <w:t xml:space="preserve">Research may be </w:t>
      </w:r>
      <w:r w:rsidR="00351B13">
        <w:rPr>
          <w:color w:val="000000"/>
        </w:rPr>
        <w:t xml:space="preserve">eligible for exemption from federal regulations if it is no more than minimal risk </w:t>
      </w:r>
      <w:r w:rsidR="00444493">
        <w:rPr>
          <w:color w:val="000000"/>
        </w:rPr>
        <w:t xml:space="preserve">for </w:t>
      </w:r>
      <w:r w:rsidR="00CE15DC">
        <w:rPr>
          <w:color w:val="000000"/>
        </w:rPr>
        <w:t xml:space="preserve">human subjects </w:t>
      </w:r>
      <w:r w:rsidR="00351B13">
        <w:rPr>
          <w:color w:val="000000"/>
        </w:rPr>
        <w:t xml:space="preserve">and all the activities associated with the research fall into one </w:t>
      </w:r>
      <w:r w:rsidR="003D6A12">
        <w:rPr>
          <w:color w:val="000000"/>
        </w:rPr>
        <w:t xml:space="preserve">or more </w:t>
      </w:r>
      <w:r w:rsidR="00351B13">
        <w:rPr>
          <w:color w:val="000000"/>
        </w:rPr>
        <w:t xml:space="preserve">of eight </w:t>
      </w:r>
      <w:r w:rsidR="003D6A12">
        <w:rPr>
          <w:color w:val="000000"/>
        </w:rPr>
        <w:t>specific exemption categorie</w:t>
      </w:r>
      <w:r w:rsidR="000220B6">
        <w:rPr>
          <w:color w:val="000000"/>
        </w:rPr>
        <w:t>s as defined by the</w:t>
      </w:r>
      <w:r w:rsidR="00351B13">
        <w:rPr>
          <w:color w:val="000000"/>
        </w:rPr>
        <w:t xml:space="preserve"> revised </w:t>
      </w:r>
      <w:r w:rsidR="00E9511D">
        <w:rPr>
          <w:color w:val="000000"/>
        </w:rPr>
        <w:t>Common Rule</w:t>
      </w:r>
      <w:r w:rsidR="00C01D26">
        <w:rPr>
          <w:color w:val="000000"/>
        </w:rPr>
        <w:t>.</w:t>
      </w:r>
      <w:r w:rsidR="00CE15DC">
        <w:rPr>
          <w:color w:val="000000"/>
        </w:rPr>
        <w:t xml:space="preserve">  </w:t>
      </w:r>
      <w:r w:rsidR="00C01D26">
        <w:rPr>
          <w:i/>
          <w:color w:val="000000"/>
        </w:rPr>
        <w:t>Ex</w:t>
      </w:r>
      <w:r w:rsidR="00E9511D" w:rsidRPr="00E9511D">
        <w:rPr>
          <w:i/>
          <w:color w:val="000000"/>
        </w:rPr>
        <w:t>empt categories 7 and 8 are not applicable at this time as AWC</w:t>
      </w:r>
      <w:r w:rsidR="00E9511D">
        <w:rPr>
          <w:color w:val="000000"/>
        </w:rPr>
        <w:t xml:space="preserve">. </w:t>
      </w:r>
      <w:r w:rsidR="003D6A12">
        <w:rPr>
          <w:color w:val="000000"/>
        </w:rPr>
        <w:t xml:space="preserve">While most exempt research does not require IRB </w:t>
      </w:r>
      <w:r w:rsidR="00E9511D">
        <w:rPr>
          <w:color w:val="000000"/>
        </w:rPr>
        <w:t>review, the</w:t>
      </w:r>
      <w:r w:rsidR="003D6A12">
        <w:rPr>
          <w:color w:val="000000"/>
        </w:rPr>
        <w:t xml:space="preserve"> IRB </w:t>
      </w:r>
      <w:r w:rsidR="003D6A12">
        <w:rPr>
          <w:b/>
          <w:color w:val="000000"/>
        </w:rPr>
        <w:t>must independently determine</w:t>
      </w:r>
      <w:r w:rsidR="003D6A12">
        <w:rPr>
          <w:color w:val="000000"/>
        </w:rPr>
        <w:t xml:space="preserve"> that relevant safeguards and ethical education training are in place.  </w:t>
      </w:r>
      <w:r w:rsidR="00103035">
        <w:rPr>
          <w:color w:val="000000"/>
        </w:rPr>
        <w:t>Therefore, studies that may qualify for “Exempt</w:t>
      </w:r>
      <w:r w:rsidR="00C001ED">
        <w:rPr>
          <w:color w:val="000000"/>
        </w:rPr>
        <w:t>,</w:t>
      </w:r>
      <w:r w:rsidR="00103035">
        <w:rPr>
          <w:color w:val="000000"/>
        </w:rPr>
        <w:t>” must be submitted to the IRB for initial review.</w:t>
      </w:r>
      <w:r w:rsidR="00CE15DC">
        <w:rPr>
          <w:color w:val="000000"/>
        </w:rPr>
        <w:t xml:space="preserve">  The IRB Chair or designated IRB member conduct initial exemption reviews.  Exemptions</w:t>
      </w:r>
      <w:r w:rsidR="00103035">
        <w:rPr>
          <w:color w:val="000000"/>
        </w:rPr>
        <w:t xml:space="preserve"> do not require a convened IRB meeting.</w:t>
      </w:r>
      <w:r w:rsidR="00CE15DC">
        <w:rPr>
          <w:color w:val="000000"/>
        </w:rPr>
        <w:t xml:space="preserve">  </w:t>
      </w:r>
      <w:r w:rsidR="00E9511D" w:rsidRPr="00103035">
        <w:rPr>
          <w:i/>
          <w:color w:val="000000"/>
        </w:rPr>
        <w:t xml:space="preserve">Research that contains elements of exempt </w:t>
      </w:r>
      <w:r w:rsidR="00E9511D" w:rsidRPr="00103035">
        <w:rPr>
          <w:i/>
          <w:color w:val="000000"/>
          <w:u w:val="single"/>
        </w:rPr>
        <w:t>and</w:t>
      </w:r>
      <w:r w:rsidR="00E9511D" w:rsidRPr="00103035">
        <w:rPr>
          <w:i/>
          <w:color w:val="000000"/>
        </w:rPr>
        <w:t xml:space="preserve"> non-exempt activities is NOT eligible for IRB exemption.  </w:t>
      </w:r>
    </w:p>
    <w:p w:rsidR="00E9511D" w:rsidRDefault="00E9511D" w:rsidP="00F06F1D">
      <w:pPr>
        <w:autoSpaceDE w:val="0"/>
        <w:autoSpaceDN w:val="0"/>
        <w:adjustRightInd w:val="0"/>
        <w:rPr>
          <w:color w:val="000000"/>
        </w:rPr>
      </w:pPr>
    </w:p>
    <w:p w:rsidR="003D6A12" w:rsidRDefault="003D6A12" w:rsidP="00F06F1D">
      <w:pPr>
        <w:autoSpaceDE w:val="0"/>
        <w:autoSpaceDN w:val="0"/>
        <w:adjustRightInd w:val="0"/>
        <w:rPr>
          <w:color w:val="000000"/>
        </w:rPr>
      </w:pPr>
      <w:r>
        <w:rPr>
          <w:color w:val="000000"/>
        </w:rPr>
        <w:t xml:space="preserve">Once an exemption determination is made by the IRB: </w:t>
      </w:r>
    </w:p>
    <w:p w:rsidR="003D6A12" w:rsidRDefault="003D6A12" w:rsidP="00F06F1D">
      <w:pPr>
        <w:autoSpaceDE w:val="0"/>
        <w:autoSpaceDN w:val="0"/>
        <w:adjustRightInd w:val="0"/>
        <w:rPr>
          <w:color w:val="000000"/>
        </w:rPr>
      </w:pPr>
    </w:p>
    <w:p w:rsidR="00E36781" w:rsidRPr="00E36781" w:rsidRDefault="003D6A12" w:rsidP="001B6481">
      <w:pPr>
        <w:pStyle w:val="ListParagraph"/>
        <w:numPr>
          <w:ilvl w:val="0"/>
          <w:numId w:val="28"/>
        </w:numPr>
        <w:autoSpaceDE w:val="0"/>
        <w:autoSpaceDN w:val="0"/>
        <w:adjustRightInd w:val="0"/>
        <w:rPr>
          <w:color w:val="000000"/>
        </w:rPr>
      </w:pPr>
      <w:r w:rsidRPr="00E36781">
        <w:rPr>
          <w:color w:val="000000"/>
        </w:rPr>
        <w:t xml:space="preserve">The exempt protocol is </w:t>
      </w:r>
      <w:r w:rsidRPr="00E36781">
        <w:rPr>
          <w:color w:val="000000"/>
          <w:u w:val="single"/>
        </w:rPr>
        <w:t>not</w:t>
      </w:r>
      <w:r w:rsidRPr="00E36781">
        <w:rPr>
          <w:color w:val="000000"/>
        </w:rPr>
        <w:t xml:space="preserve"> subject to continuing review; and</w:t>
      </w:r>
    </w:p>
    <w:p w:rsidR="003D6A12" w:rsidRPr="00B44CD1" w:rsidRDefault="003D6A12" w:rsidP="003D6A12">
      <w:pPr>
        <w:pStyle w:val="ListParagraph"/>
        <w:numPr>
          <w:ilvl w:val="0"/>
          <w:numId w:val="28"/>
        </w:numPr>
        <w:autoSpaceDE w:val="0"/>
        <w:autoSpaceDN w:val="0"/>
        <w:adjustRightInd w:val="0"/>
        <w:rPr>
          <w:color w:val="000000"/>
        </w:rPr>
      </w:pPr>
      <w:r>
        <w:rPr>
          <w:color w:val="000000"/>
        </w:rPr>
        <w:t xml:space="preserve">The PI does </w:t>
      </w:r>
      <w:r w:rsidRPr="003D6A12">
        <w:rPr>
          <w:color w:val="000000"/>
          <w:u w:val="single"/>
        </w:rPr>
        <w:t>not</w:t>
      </w:r>
      <w:r>
        <w:rPr>
          <w:color w:val="000000"/>
        </w:rPr>
        <w:t xml:space="preserve"> need to amend the exempt protocol; </w:t>
      </w:r>
      <w:r w:rsidRPr="003D6A12">
        <w:rPr>
          <w:i/>
          <w:color w:val="000000"/>
        </w:rPr>
        <w:t>instead</w:t>
      </w:r>
      <w:r>
        <w:rPr>
          <w:color w:val="000000"/>
        </w:rPr>
        <w:t xml:space="preserve">, the PI </w:t>
      </w:r>
      <w:r w:rsidRPr="003D6A12">
        <w:rPr>
          <w:color w:val="000000"/>
          <w:u w:val="single"/>
        </w:rPr>
        <w:t>must</w:t>
      </w:r>
      <w:r>
        <w:rPr>
          <w:color w:val="000000"/>
        </w:rPr>
        <w:t xml:space="preserve"> contact the IRB </w:t>
      </w:r>
      <w:r w:rsidRPr="003D6A12">
        <w:rPr>
          <w:color w:val="000000"/>
          <w:u w:val="single"/>
        </w:rPr>
        <w:t>only if</w:t>
      </w:r>
      <w:r>
        <w:rPr>
          <w:color w:val="000000"/>
        </w:rPr>
        <w:t xml:space="preserve"> changes to the project </w:t>
      </w:r>
      <w:r w:rsidRPr="003D6A12">
        <w:rPr>
          <w:i/>
          <w:color w:val="000000"/>
          <w:u w:val="single"/>
        </w:rPr>
        <w:t>could alter the exemption determination</w:t>
      </w:r>
    </w:p>
    <w:p w:rsidR="00B44CD1" w:rsidRDefault="00B44CD1" w:rsidP="00B44CD1">
      <w:pPr>
        <w:autoSpaceDE w:val="0"/>
        <w:autoSpaceDN w:val="0"/>
        <w:adjustRightInd w:val="0"/>
        <w:rPr>
          <w:color w:val="000000"/>
        </w:rPr>
      </w:pPr>
    </w:p>
    <w:p w:rsidR="00B44CD1" w:rsidRDefault="00B44CD1" w:rsidP="00B44CD1">
      <w:pPr>
        <w:autoSpaceDE w:val="0"/>
        <w:autoSpaceDN w:val="0"/>
        <w:adjustRightInd w:val="0"/>
        <w:rPr>
          <w:color w:val="000000"/>
        </w:rPr>
      </w:pPr>
      <w:r>
        <w:rPr>
          <w:color w:val="000000"/>
        </w:rPr>
        <w:t xml:space="preserve">Even when research is exempt from further requirements of federal regulations, </w:t>
      </w:r>
      <w:r w:rsidR="00E9511D">
        <w:rPr>
          <w:color w:val="000000"/>
        </w:rPr>
        <w:t xml:space="preserve">these </w:t>
      </w:r>
      <w:r>
        <w:rPr>
          <w:color w:val="000000"/>
        </w:rPr>
        <w:t>basi</w:t>
      </w:r>
      <w:r w:rsidR="00E9511D">
        <w:rPr>
          <w:color w:val="000000"/>
        </w:rPr>
        <w:t>c ethical standards still apply:</w:t>
      </w:r>
    </w:p>
    <w:p w:rsidR="00B44CD1" w:rsidRDefault="00B44CD1" w:rsidP="00B44CD1">
      <w:pPr>
        <w:autoSpaceDE w:val="0"/>
        <w:autoSpaceDN w:val="0"/>
        <w:adjustRightInd w:val="0"/>
        <w:rPr>
          <w:color w:val="000000"/>
        </w:rPr>
      </w:pPr>
    </w:p>
    <w:p w:rsidR="00E36781" w:rsidRPr="00E36781" w:rsidRDefault="00B44CD1" w:rsidP="00294809">
      <w:pPr>
        <w:pStyle w:val="ListParagraph"/>
        <w:numPr>
          <w:ilvl w:val="0"/>
          <w:numId w:val="28"/>
        </w:numPr>
        <w:autoSpaceDE w:val="0"/>
        <w:autoSpaceDN w:val="0"/>
        <w:adjustRightInd w:val="0"/>
        <w:rPr>
          <w:color w:val="000000"/>
        </w:rPr>
      </w:pPr>
      <w:r w:rsidRPr="00E36781">
        <w:rPr>
          <w:color w:val="000000"/>
        </w:rPr>
        <w:t xml:space="preserve">Prospective </w:t>
      </w:r>
      <w:r w:rsidR="00651BD5" w:rsidRPr="00E36781">
        <w:rPr>
          <w:color w:val="000000"/>
        </w:rPr>
        <w:t>participants</w:t>
      </w:r>
      <w:r w:rsidRPr="00E36781">
        <w:rPr>
          <w:color w:val="000000"/>
        </w:rPr>
        <w:t xml:space="preserve"> must be provide</w:t>
      </w:r>
      <w:r w:rsidR="00651BD5" w:rsidRPr="00E36781">
        <w:rPr>
          <w:color w:val="000000"/>
        </w:rPr>
        <w:t>d</w:t>
      </w:r>
      <w:r w:rsidRPr="00E36781">
        <w:rPr>
          <w:color w:val="000000"/>
        </w:rPr>
        <w:t xml:space="preserve"> enough </w:t>
      </w:r>
      <w:r w:rsidR="00651BD5" w:rsidRPr="00E36781">
        <w:rPr>
          <w:color w:val="000000"/>
        </w:rPr>
        <w:t>information</w:t>
      </w:r>
      <w:r w:rsidRPr="00E36781">
        <w:rPr>
          <w:color w:val="000000"/>
        </w:rPr>
        <w:t xml:space="preserve"> to be able to choose whether or not to </w:t>
      </w:r>
      <w:r w:rsidR="00651BD5" w:rsidRPr="00E36781">
        <w:rPr>
          <w:color w:val="000000"/>
        </w:rPr>
        <w:t>participate</w:t>
      </w:r>
      <w:r w:rsidR="00E9511D">
        <w:rPr>
          <w:color w:val="000000"/>
        </w:rPr>
        <w:t>;</w:t>
      </w:r>
    </w:p>
    <w:p w:rsidR="00E36781" w:rsidRPr="00E36781" w:rsidRDefault="00B44CD1" w:rsidP="00340109">
      <w:pPr>
        <w:pStyle w:val="ListParagraph"/>
        <w:numPr>
          <w:ilvl w:val="0"/>
          <w:numId w:val="28"/>
        </w:numPr>
        <w:autoSpaceDE w:val="0"/>
        <w:autoSpaceDN w:val="0"/>
        <w:adjustRightInd w:val="0"/>
        <w:rPr>
          <w:color w:val="000000"/>
        </w:rPr>
      </w:pPr>
      <w:r w:rsidRPr="00E36781">
        <w:rPr>
          <w:color w:val="000000"/>
        </w:rPr>
        <w:t>Research data must be handle</w:t>
      </w:r>
      <w:r w:rsidR="00EA3028">
        <w:rPr>
          <w:color w:val="000000"/>
        </w:rPr>
        <w:t>d</w:t>
      </w:r>
      <w:r w:rsidRPr="00E36781">
        <w:rPr>
          <w:color w:val="000000"/>
        </w:rPr>
        <w:t xml:space="preserve"> and stored securely, in compl</w:t>
      </w:r>
      <w:r w:rsidR="00E9511D">
        <w:rPr>
          <w:color w:val="000000"/>
        </w:rPr>
        <w:t>iance with institutional policy;</w:t>
      </w:r>
    </w:p>
    <w:p w:rsidR="00E36781" w:rsidRPr="00E36781" w:rsidRDefault="00B44CD1" w:rsidP="00A20EF1">
      <w:pPr>
        <w:pStyle w:val="ListParagraph"/>
        <w:numPr>
          <w:ilvl w:val="0"/>
          <w:numId w:val="28"/>
        </w:numPr>
        <w:autoSpaceDE w:val="0"/>
        <w:autoSpaceDN w:val="0"/>
        <w:adjustRightInd w:val="0"/>
        <w:rPr>
          <w:color w:val="000000"/>
        </w:rPr>
      </w:pPr>
      <w:r w:rsidRPr="00E36781">
        <w:rPr>
          <w:color w:val="000000"/>
        </w:rPr>
        <w:t>Access to research data must be limited to study team members</w:t>
      </w:r>
      <w:r w:rsidR="00E9511D">
        <w:rPr>
          <w:color w:val="000000"/>
        </w:rPr>
        <w:t xml:space="preserve"> and other authorized personnel; and</w:t>
      </w:r>
    </w:p>
    <w:p w:rsidR="00B44CD1" w:rsidRPr="00651BD5" w:rsidRDefault="00B44CD1" w:rsidP="00651BD5">
      <w:pPr>
        <w:pStyle w:val="ListParagraph"/>
        <w:numPr>
          <w:ilvl w:val="0"/>
          <w:numId w:val="28"/>
        </w:numPr>
        <w:autoSpaceDE w:val="0"/>
        <w:autoSpaceDN w:val="0"/>
        <w:adjustRightInd w:val="0"/>
        <w:rPr>
          <w:color w:val="000000"/>
        </w:rPr>
      </w:pPr>
      <w:r>
        <w:rPr>
          <w:color w:val="000000"/>
        </w:rPr>
        <w:t xml:space="preserve">ALL members of the research team must be current on human subjects </w:t>
      </w:r>
      <w:r w:rsidR="00651BD5">
        <w:rPr>
          <w:color w:val="000000"/>
        </w:rPr>
        <w:t xml:space="preserve">(CITI) </w:t>
      </w:r>
      <w:r>
        <w:rPr>
          <w:color w:val="000000"/>
        </w:rPr>
        <w:t>training.</w:t>
      </w:r>
    </w:p>
    <w:p w:rsidR="003D6A12" w:rsidRDefault="003D6A12" w:rsidP="00F06F1D">
      <w:pPr>
        <w:autoSpaceDE w:val="0"/>
        <w:autoSpaceDN w:val="0"/>
        <w:adjustRightInd w:val="0"/>
        <w:rPr>
          <w:color w:val="000000"/>
        </w:rPr>
      </w:pPr>
    </w:p>
    <w:p w:rsidR="004E7405" w:rsidRDefault="000220B6" w:rsidP="00F06F1D">
      <w:pPr>
        <w:autoSpaceDE w:val="0"/>
        <w:autoSpaceDN w:val="0"/>
        <w:adjustRightInd w:val="0"/>
        <w:rPr>
          <w:color w:val="000000"/>
        </w:rPr>
      </w:pPr>
      <w:r>
        <w:rPr>
          <w:b/>
          <w:color w:val="000000"/>
        </w:rPr>
        <w:t xml:space="preserve">Revised Common Rule: </w:t>
      </w:r>
      <w:r w:rsidR="003D6A12">
        <w:rPr>
          <w:color w:val="000000"/>
        </w:rPr>
        <w:t>C</w:t>
      </w:r>
      <w:r w:rsidR="004E7405">
        <w:rPr>
          <w:color w:val="000000"/>
        </w:rPr>
        <w:t xml:space="preserve">ollaboration between the US Department of Health and Human Services and 15 other Federal Departments and Agencies resulted in revisions to </w:t>
      </w:r>
      <w:r w:rsidR="000B784E">
        <w:rPr>
          <w:color w:val="000000"/>
        </w:rPr>
        <w:t>45 CFR 46, Subpart A – “Federal Policy for the Protection of Human Subjects”</w:t>
      </w:r>
      <w:r w:rsidR="004E7405">
        <w:rPr>
          <w:color w:val="000000"/>
        </w:rPr>
        <w:t xml:space="preserve">, or </w:t>
      </w:r>
      <w:r w:rsidR="000B784E">
        <w:rPr>
          <w:color w:val="000000"/>
        </w:rPr>
        <w:t>the Common Rule</w:t>
      </w:r>
      <w:r w:rsidR="004E7405">
        <w:rPr>
          <w:color w:val="000000"/>
        </w:rPr>
        <w:t>, on January 18, 2017.  This is the first</w:t>
      </w:r>
      <w:r w:rsidR="00F06F1D">
        <w:rPr>
          <w:color w:val="000000"/>
        </w:rPr>
        <w:t xml:space="preserve"> revision since its publication in 1991.</w:t>
      </w:r>
      <w:r w:rsidR="004E7405">
        <w:rPr>
          <w:color w:val="000000"/>
        </w:rPr>
        <w:t xml:space="preserve"> </w:t>
      </w:r>
      <w:r w:rsidR="000B784E">
        <w:rPr>
          <w:color w:val="000000"/>
        </w:rPr>
        <w:t xml:space="preserve"> </w:t>
      </w:r>
      <w:r w:rsidR="00F06F1D">
        <w:rPr>
          <w:color w:val="000000"/>
        </w:rPr>
        <w:t>The explicit goal of these revisions is to reduce administrative burden and better protect subjects in the modern research context.</w:t>
      </w:r>
    </w:p>
    <w:p w:rsidR="000B784E" w:rsidRDefault="000B784E" w:rsidP="00BF79D0">
      <w:pPr>
        <w:autoSpaceDE w:val="0"/>
        <w:autoSpaceDN w:val="0"/>
        <w:adjustRightInd w:val="0"/>
        <w:rPr>
          <w:color w:val="000000"/>
        </w:rPr>
      </w:pPr>
    </w:p>
    <w:p w:rsidR="00103035" w:rsidRDefault="000907FF" w:rsidP="000907FF">
      <w:pPr>
        <w:autoSpaceDE w:val="0"/>
        <w:autoSpaceDN w:val="0"/>
        <w:adjustRightInd w:val="0"/>
        <w:rPr>
          <w:color w:val="000000"/>
        </w:rPr>
      </w:pPr>
      <w:r>
        <w:rPr>
          <w:color w:val="000000"/>
        </w:rPr>
        <w:t xml:space="preserve">New </w:t>
      </w:r>
      <w:r w:rsidR="00E9511D">
        <w:rPr>
          <w:color w:val="000000"/>
        </w:rPr>
        <w:t xml:space="preserve">exempt </w:t>
      </w:r>
      <w:r>
        <w:rPr>
          <w:color w:val="000000"/>
        </w:rPr>
        <w:t>categories were added,</w:t>
      </w:r>
      <w:r w:rsidR="00103035">
        <w:rPr>
          <w:color w:val="000000"/>
        </w:rPr>
        <w:t xml:space="preserve"> some were revised, </w:t>
      </w:r>
      <w:r>
        <w:rPr>
          <w:color w:val="000000"/>
        </w:rPr>
        <w:t>and two new processes were introduced: limited IRB review and broad consent.</w:t>
      </w:r>
      <w:r w:rsidR="00EA3028">
        <w:rPr>
          <w:color w:val="000000"/>
        </w:rPr>
        <w:t xml:space="preserve">  </w:t>
      </w:r>
      <w:r>
        <w:rPr>
          <w:color w:val="000000"/>
        </w:rPr>
        <w:t>The pre-2018 rule had six exempt categories in 46.101(b).</w:t>
      </w:r>
      <w:r w:rsidR="0098034C">
        <w:rPr>
          <w:color w:val="000000"/>
        </w:rPr>
        <w:t xml:space="preserve">  </w:t>
      </w:r>
      <w:r>
        <w:rPr>
          <w:color w:val="000000"/>
        </w:rPr>
        <w:t>The revised rule gave exempt categories an entire section</w:t>
      </w:r>
      <w:r w:rsidR="0098034C">
        <w:rPr>
          <w:color w:val="000000"/>
        </w:rPr>
        <w:t>,</w:t>
      </w:r>
      <w:r>
        <w:rPr>
          <w:color w:val="000000"/>
        </w:rPr>
        <w:t xml:space="preserve"> 46.104</w:t>
      </w:r>
      <w:r w:rsidR="0098034C">
        <w:rPr>
          <w:color w:val="000000"/>
        </w:rPr>
        <w:t>,</w:t>
      </w:r>
      <w:r>
        <w:rPr>
          <w:color w:val="000000"/>
        </w:rPr>
        <w:t xml:space="preserve"> and now includes eight categories in 46.104(d) (1-8)</w:t>
      </w:r>
      <w:r w:rsidR="00351B13">
        <w:rPr>
          <w:color w:val="000000"/>
        </w:rPr>
        <w:t xml:space="preserve">.  </w:t>
      </w:r>
      <w:r w:rsidR="00103035">
        <w:rPr>
          <w:color w:val="000000"/>
        </w:rPr>
        <w:t>However, as previously noted, e</w:t>
      </w:r>
      <w:r>
        <w:rPr>
          <w:color w:val="000000"/>
        </w:rPr>
        <w:t>xempt categories 7 and 8 are not applicable</w:t>
      </w:r>
      <w:r w:rsidR="00351B13">
        <w:rPr>
          <w:color w:val="000000"/>
        </w:rPr>
        <w:t xml:space="preserve"> at this time</w:t>
      </w:r>
      <w:r w:rsidR="0098034C">
        <w:rPr>
          <w:color w:val="000000"/>
        </w:rPr>
        <w:t>,</w:t>
      </w:r>
      <w:r w:rsidR="00351B13">
        <w:rPr>
          <w:color w:val="000000"/>
        </w:rPr>
        <w:t xml:space="preserve"> as AWC is not implementing broad consent</w:t>
      </w:r>
      <w:r>
        <w:rPr>
          <w:color w:val="000000"/>
        </w:rPr>
        <w:t xml:space="preserve">. </w:t>
      </w:r>
    </w:p>
    <w:p w:rsidR="00103035" w:rsidRDefault="00103035" w:rsidP="000907FF">
      <w:pPr>
        <w:autoSpaceDE w:val="0"/>
        <w:autoSpaceDN w:val="0"/>
        <w:adjustRightInd w:val="0"/>
        <w:rPr>
          <w:color w:val="000000"/>
        </w:rPr>
      </w:pPr>
    </w:p>
    <w:p w:rsidR="00985834" w:rsidRDefault="00985834" w:rsidP="00985834">
      <w:pPr>
        <w:autoSpaceDE w:val="0"/>
        <w:autoSpaceDN w:val="0"/>
        <w:adjustRightInd w:val="0"/>
        <w:rPr>
          <w:color w:val="000000"/>
        </w:rPr>
      </w:pPr>
    </w:p>
    <w:p w:rsidR="00651BD5" w:rsidRDefault="00985834" w:rsidP="00651BD5">
      <w:pPr>
        <w:autoSpaceDE w:val="0"/>
        <w:autoSpaceDN w:val="0"/>
        <w:adjustRightInd w:val="0"/>
        <w:rPr>
          <w:color w:val="000000"/>
        </w:rPr>
      </w:pPr>
      <w:r w:rsidRPr="00356146">
        <w:rPr>
          <w:b/>
          <w:bCs/>
          <w:color w:val="000000"/>
        </w:rPr>
        <w:t>Limited IRB Review</w:t>
      </w:r>
      <w:r>
        <w:rPr>
          <w:b/>
          <w:bCs/>
          <w:color w:val="000000"/>
        </w:rPr>
        <w:t xml:space="preserve"> (for select Exemption Categories)</w:t>
      </w:r>
      <w:r>
        <w:rPr>
          <w:bCs/>
          <w:color w:val="000000"/>
        </w:rPr>
        <w:t>: The Final Rule introduced a new concept of limited IRB review as a condition of exemption.</w:t>
      </w:r>
      <w:r w:rsidR="00D7768F">
        <w:rPr>
          <w:bCs/>
          <w:color w:val="000000"/>
        </w:rPr>
        <w:t xml:space="preserve">  </w:t>
      </w:r>
      <w:r w:rsidR="000220B6">
        <w:rPr>
          <w:bCs/>
          <w:color w:val="000000"/>
        </w:rPr>
        <w:t>Certain studies that once required Expedited review by the IRB now meet the criteria for “Limited IRB Review.”</w:t>
      </w:r>
      <w:r w:rsidR="00D7768F">
        <w:rPr>
          <w:bCs/>
          <w:color w:val="000000"/>
        </w:rPr>
        <w:t xml:space="preserve">  </w:t>
      </w:r>
      <w:r w:rsidR="000220B6">
        <w:rPr>
          <w:color w:val="000000"/>
        </w:rPr>
        <w:t xml:space="preserve">Limited IRB review will occur at the same time the proposed research protocol is reviewed for a determination of exemption. </w:t>
      </w:r>
    </w:p>
    <w:p w:rsidR="00651BD5" w:rsidRDefault="00651BD5" w:rsidP="00651BD5">
      <w:pPr>
        <w:autoSpaceDE w:val="0"/>
        <w:autoSpaceDN w:val="0"/>
        <w:adjustRightInd w:val="0"/>
        <w:rPr>
          <w:color w:val="000000"/>
        </w:rPr>
      </w:pPr>
    </w:p>
    <w:p w:rsidR="00651BD5" w:rsidRDefault="00651BD5" w:rsidP="00651BD5">
      <w:pPr>
        <w:autoSpaceDE w:val="0"/>
        <w:autoSpaceDN w:val="0"/>
        <w:adjustRightInd w:val="0"/>
        <w:rPr>
          <w:bCs/>
          <w:color w:val="000000"/>
        </w:rPr>
      </w:pPr>
      <w:r>
        <w:rPr>
          <w:bCs/>
          <w:color w:val="000000"/>
        </w:rPr>
        <w:t>Limited IRB review is required for exempt categories 2 and 3</w:t>
      </w:r>
      <w:r w:rsidR="00D7768F">
        <w:rPr>
          <w:bCs/>
          <w:color w:val="000000"/>
        </w:rPr>
        <w:t>,</w:t>
      </w:r>
      <w:r>
        <w:rPr>
          <w:bCs/>
          <w:color w:val="000000"/>
        </w:rPr>
        <w:t xml:space="preserve"> when: </w:t>
      </w:r>
    </w:p>
    <w:p w:rsidR="00651BD5" w:rsidRDefault="00651BD5" w:rsidP="00651BD5">
      <w:pPr>
        <w:autoSpaceDE w:val="0"/>
        <w:autoSpaceDN w:val="0"/>
        <w:adjustRightInd w:val="0"/>
        <w:rPr>
          <w:bCs/>
          <w:color w:val="000000"/>
        </w:rPr>
      </w:pPr>
    </w:p>
    <w:p w:rsidR="00246761" w:rsidRPr="00E36781" w:rsidRDefault="00651BD5" w:rsidP="000275A3">
      <w:pPr>
        <w:pStyle w:val="ListParagraph"/>
        <w:numPr>
          <w:ilvl w:val="0"/>
          <w:numId w:val="29"/>
        </w:numPr>
        <w:autoSpaceDE w:val="0"/>
        <w:autoSpaceDN w:val="0"/>
        <w:adjustRightInd w:val="0"/>
        <w:rPr>
          <w:bCs/>
          <w:color w:val="000000"/>
        </w:rPr>
      </w:pPr>
      <w:r w:rsidRPr="00E36781">
        <w:rPr>
          <w:bCs/>
          <w:color w:val="000000"/>
        </w:rPr>
        <w:t xml:space="preserve">The information obtained is recorded by the investigator in such a manner that the identity of the human subject can readily be ascertained, directly or through identifiers linked to the subjects, </w:t>
      </w:r>
      <w:r w:rsidRPr="00E36781">
        <w:rPr>
          <w:b/>
          <w:bCs/>
          <w:color w:val="000000"/>
          <w:u w:val="single"/>
        </w:rPr>
        <w:t>AND</w:t>
      </w:r>
    </w:p>
    <w:p w:rsidR="00E36781" w:rsidRPr="00E36781" w:rsidRDefault="00E36781" w:rsidP="00E36781">
      <w:pPr>
        <w:pStyle w:val="ListParagraph"/>
        <w:autoSpaceDE w:val="0"/>
        <w:autoSpaceDN w:val="0"/>
        <w:adjustRightInd w:val="0"/>
        <w:rPr>
          <w:bCs/>
          <w:color w:val="000000"/>
        </w:rPr>
      </w:pPr>
    </w:p>
    <w:p w:rsidR="00651BD5" w:rsidRPr="000220B6" w:rsidRDefault="00651BD5" w:rsidP="00651BD5">
      <w:pPr>
        <w:pStyle w:val="ListParagraph"/>
        <w:numPr>
          <w:ilvl w:val="0"/>
          <w:numId w:val="29"/>
        </w:numPr>
        <w:autoSpaceDE w:val="0"/>
        <w:autoSpaceDN w:val="0"/>
        <w:adjustRightInd w:val="0"/>
        <w:rPr>
          <w:bCs/>
          <w:color w:val="000000"/>
        </w:rPr>
      </w:pPr>
      <w:r w:rsidRPr="000220B6">
        <w:rPr>
          <w:bCs/>
          <w:color w:val="000000"/>
        </w:rPr>
        <w:t>Any disclosure of the human subjects’ responses outside the research would reasonably place the subjects at risk of criminal or civil liability or be damaging to the subjects’ financial standing, employability, education advancement, or reputation.</w:t>
      </w:r>
    </w:p>
    <w:p w:rsidR="00651BD5" w:rsidRDefault="00651BD5" w:rsidP="00651BD5">
      <w:pPr>
        <w:autoSpaceDE w:val="0"/>
        <w:autoSpaceDN w:val="0"/>
        <w:adjustRightInd w:val="0"/>
        <w:rPr>
          <w:color w:val="000000"/>
        </w:rPr>
      </w:pPr>
    </w:p>
    <w:p w:rsidR="000220B6" w:rsidRPr="005C5DDA" w:rsidRDefault="00343E3C" w:rsidP="00651BD5">
      <w:pPr>
        <w:autoSpaceDE w:val="0"/>
        <w:autoSpaceDN w:val="0"/>
        <w:adjustRightInd w:val="0"/>
        <w:rPr>
          <w:b/>
          <w:i/>
          <w:color w:val="0070C0"/>
        </w:rPr>
      </w:pPr>
      <w:hyperlink r:id="rId11" w:anchor="se45.1.46_1104" w:history="1">
        <w:r w:rsidR="00651BD5" w:rsidRPr="00E9511D">
          <w:rPr>
            <w:rStyle w:val="Hyperlink"/>
            <w:b/>
            <w:color w:val="0070C0"/>
          </w:rPr>
          <w:t>45 CFR 46.10</w:t>
        </w:r>
        <w:r w:rsidR="00351B13" w:rsidRPr="00E9511D">
          <w:rPr>
            <w:rStyle w:val="Hyperlink"/>
            <w:b/>
            <w:color w:val="0070C0"/>
          </w:rPr>
          <w:t>4</w:t>
        </w:r>
        <w:r w:rsidR="00651BD5" w:rsidRPr="00E9511D">
          <w:rPr>
            <w:rStyle w:val="Hyperlink"/>
            <w:b/>
            <w:color w:val="0070C0"/>
          </w:rPr>
          <w:t xml:space="preserve"> Exempt Research</w:t>
        </w:r>
      </w:hyperlink>
      <w:r w:rsidR="00103035">
        <w:rPr>
          <w:b/>
          <w:color w:val="0070C0"/>
        </w:rPr>
        <w:t xml:space="preserve"> </w:t>
      </w:r>
      <w:r w:rsidR="00103035" w:rsidRPr="005C5DDA">
        <w:rPr>
          <w:b/>
          <w:i/>
          <w:color w:val="0070C0"/>
        </w:rPr>
        <w:t>(</w:t>
      </w:r>
      <w:r w:rsidR="005C5DDA" w:rsidRPr="005C5DDA">
        <w:rPr>
          <w:b/>
          <w:i/>
          <w:color w:val="0070C0"/>
        </w:rPr>
        <w:t xml:space="preserve">follow </w:t>
      </w:r>
      <w:r w:rsidR="00103035" w:rsidRPr="005C5DDA">
        <w:rPr>
          <w:b/>
          <w:i/>
          <w:color w:val="0070C0"/>
        </w:rPr>
        <w:t xml:space="preserve">link </w:t>
      </w:r>
      <w:r w:rsidR="005C5DDA" w:rsidRPr="005C5DDA">
        <w:rPr>
          <w:b/>
          <w:i/>
          <w:color w:val="0070C0"/>
        </w:rPr>
        <w:t>for</w:t>
      </w:r>
      <w:r w:rsidR="00103035" w:rsidRPr="005C5DDA">
        <w:rPr>
          <w:b/>
          <w:i/>
          <w:color w:val="0070C0"/>
        </w:rPr>
        <w:t xml:space="preserve"> complete list of exempt</w:t>
      </w:r>
      <w:r w:rsidR="005C5DDA">
        <w:rPr>
          <w:b/>
          <w:i/>
          <w:color w:val="0070C0"/>
        </w:rPr>
        <w:t xml:space="preserve"> categories</w:t>
      </w:r>
      <w:r w:rsidR="00103035" w:rsidRPr="005C5DDA">
        <w:rPr>
          <w:b/>
          <w:i/>
          <w:color w:val="0070C0"/>
        </w:rPr>
        <w:t>)</w:t>
      </w:r>
    </w:p>
    <w:p w:rsidR="00103035" w:rsidRPr="00103035" w:rsidRDefault="00103035" w:rsidP="00651BD5">
      <w:pPr>
        <w:autoSpaceDE w:val="0"/>
        <w:autoSpaceDN w:val="0"/>
        <w:adjustRightInd w:val="0"/>
        <w:rPr>
          <w:i/>
        </w:rPr>
      </w:pPr>
      <w:r w:rsidRPr="00103035">
        <w:rPr>
          <w:i/>
          <w:color w:val="000000"/>
        </w:rPr>
        <w:t>Exempt categories 7 and 8 are not applicable at this time</w:t>
      </w:r>
      <w:r w:rsidR="00AD29DD">
        <w:rPr>
          <w:i/>
          <w:color w:val="000000"/>
        </w:rPr>
        <w:t>,</w:t>
      </w:r>
      <w:r w:rsidRPr="00103035">
        <w:rPr>
          <w:i/>
          <w:color w:val="000000"/>
        </w:rPr>
        <w:t xml:space="preserve"> as AWC is not implementing broad consent</w:t>
      </w:r>
      <w:r>
        <w:rPr>
          <w:i/>
          <w:color w:val="000000"/>
        </w:rPr>
        <w:t>.</w:t>
      </w:r>
      <w:r w:rsidR="00B978FB">
        <w:rPr>
          <w:i/>
          <w:color w:val="000000"/>
        </w:rPr>
        <w:t xml:space="preserve">  </w:t>
      </w:r>
      <w:r w:rsidRPr="00103035">
        <w:rPr>
          <w:i/>
          <w:color w:val="000000"/>
        </w:rPr>
        <w:t>Of the remaining six categories, Social, Behavioral, and Educational Research</w:t>
      </w:r>
      <w:r w:rsidR="00B978FB">
        <w:rPr>
          <w:i/>
          <w:color w:val="000000"/>
        </w:rPr>
        <w:t>,</w:t>
      </w:r>
      <w:r w:rsidRPr="00103035">
        <w:rPr>
          <w:i/>
          <w:color w:val="000000"/>
        </w:rPr>
        <w:t xml:space="preserve"> typically falls into categories 1, 2, 3, and/or 4.</w:t>
      </w:r>
    </w:p>
    <w:p w:rsidR="000220B6" w:rsidRPr="000220B6" w:rsidRDefault="000220B6" w:rsidP="000220B6">
      <w:pPr>
        <w:autoSpaceDE w:val="0"/>
        <w:autoSpaceDN w:val="0"/>
        <w:adjustRightInd w:val="0"/>
        <w:rPr>
          <w:color w:val="000000"/>
        </w:rPr>
      </w:pPr>
    </w:p>
    <w:p w:rsidR="003E3F73" w:rsidRDefault="00651BD5" w:rsidP="00031192">
      <w:pPr>
        <w:pStyle w:val="ListParagraph"/>
        <w:numPr>
          <w:ilvl w:val="0"/>
          <w:numId w:val="37"/>
        </w:numPr>
        <w:autoSpaceDE w:val="0"/>
        <w:autoSpaceDN w:val="0"/>
        <w:adjustRightInd w:val="0"/>
      </w:pPr>
      <w:r w:rsidRPr="00651BD5">
        <w:t xml:space="preserve">Research conducted in </w:t>
      </w:r>
      <w:r w:rsidRPr="00031192">
        <w:rPr>
          <w:bCs/>
        </w:rPr>
        <w:t>established or commonly accepted educational settings</w:t>
      </w:r>
      <w:r w:rsidRPr="00651BD5">
        <w:t>, involving normal</w:t>
      </w:r>
      <w:r>
        <w:t xml:space="preserve"> </w:t>
      </w:r>
      <w:r w:rsidRPr="00651BD5">
        <w:t>educational practices</w:t>
      </w:r>
      <w:r w:rsidR="00031192">
        <w:t xml:space="preserve"> that are not likely to adversely impact students’ opportunity to learn required educational content or the assessment of educators who provide instruction. This includes most </w:t>
      </w:r>
      <w:r w:rsidRPr="00651BD5">
        <w:t>research on regular and special education instructional strategies</w:t>
      </w:r>
      <w:r w:rsidR="00031192">
        <w:t xml:space="preserve">, and </w:t>
      </w:r>
      <w:r w:rsidRPr="00651BD5">
        <w:t>research on the effectiveness of or the comparison among instructional techniques, curricula or</w:t>
      </w:r>
      <w:r>
        <w:t xml:space="preserve"> </w:t>
      </w:r>
      <w:r w:rsidRPr="00651BD5">
        <w:t>classroom management methods.</w:t>
      </w:r>
    </w:p>
    <w:p w:rsidR="000220B6" w:rsidRPr="000220B6" w:rsidRDefault="000220B6" w:rsidP="000220B6">
      <w:pPr>
        <w:autoSpaceDE w:val="0"/>
        <w:autoSpaceDN w:val="0"/>
        <w:adjustRightInd w:val="0"/>
        <w:rPr>
          <w:color w:val="000000"/>
        </w:rPr>
      </w:pPr>
    </w:p>
    <w:p w:rsidR="00246761" w:rsidRPr="00246761" w:rsidRDefault="00246761" w:rsidP="00246761">
      <w:pPr>
        <w:pStyle w:val="ListParagraph"/>
        <w:numPr>
          <w:ilvl w:val="0"/>
          <w:numId w:val="37"/>
        </w:numPr>
        <w:autoSpaceDE w:val="0"/>
        <w:autoSpaceDN w:val="0"/>
        <w:adjustRightInd w:val="0"/>
        <w:rPr>
          <w:color w:val="000000"/>
        </w:rPr>
      </w:pPr>
      <w:r w:rsidRPr="00246761">
        <w:rPr>
          <w:bCs/>
          <w:color w:val="000000"/>
        </w:rPr>
        <w:t>Research that only includes interactions involving educational tests (cognitive, diagnostic, aptitude, achievement), survey procedures, interview procedures, or observation of public behavior (including visual or auditory recording)</w:t>
      </w:r>
      <w:r w:rsidR="00B978FB">
        <w:rPr>
          <w:bCs/>
          <w:color w:val="000000"/>
        </w:rPr>
        <w:t>,</w:t>
      </w:r>
      <w:r w:rsidRPr="00246761">
        <w:rPr>
          <w:bCs/>
          <w:color w:val="000000"/>
        </w:rPr>
        <w:t xml:space="preserve"> if </w:t>
      </w:r>
      <w:r w:rsidRPr="00246761">
        <w:rPr>
          <w:b/>
          <w:bCs/>
          <w:color w:val="000000"/>
          <w:u w:val="single"/>
        </w:rPr>
        <w:t>at least one</w:t>
      </w:r>
      <w:r w:rsidRPr="00246761">
        <w:rPr>
          <w:bCs/>
          <w:color w:val="000000"/>
        </w:rPr>
        <w:t xml:space="preserve"> of the following criteria is met:</w:t>
      </w:r>
      <w:r w:rsidR="000220B6" w:rsidRPr="00651BD5">
        <w:rPr>
          <w:bCs/>
          <w:color w:val="000000"/>
        </w:rPr>
        <w:t xml:space="preserve"> </w:t>
      </w:r>
    </w:p>
    <w:p w:rsidR="00246761" w:rsidRDefault="00246761" w:rsidP="00246761">
      <w:pPr>
        <w:pStyle w:val="ListParagraph"/>
      </w:pPr>
    </w:p>
    <w:p w:rsidR="00246761" w:rsidRPr="00E36781" w:rsidRDefault="00246761" w:rsidP="00246761">
      <w:pPr>
        <w:pStyle w:val="ListParagraph"/>
        <w:numPr>
          <w:ilvl w:val="1"/>
          <w:numId w:val="37"/>
        </w:numPr>
        <w:autoSpaceDE w:val="0"/>
        <w:autoSpaceDN w:val="0"/>
        <w:adjustRightInd w:val="0"/>
        <w:rPr>
          <w:color w:val="000000"/>
        </w:rPr>
      </w:pPr>
      <w:r>
        <w:t>The information obtained is recorded by the investigator in such a manner that the identity of the human subjects cannot readily be ascertained, directly or through identifiers linked to the subjects;</w:t>
      </w:r>
    </w:p>
    <w:p w:rsidR="00E36781" w:rsidRPr="00246761" w:rsidRDefault="00E36781" w:rsidP="00E36781">
      <w:pPr>
        <w:pStyle w:val="ListParagraph"/>
        <w:autoSpaceDE w:val="0"/>
        <w:autoSpaceDN w:val="0"/>
        <w:adjustRightInd w:val="0"/>
        <w:ind w:left="1080"/>
        <w:rPr>
          <w:color w:val="000000"/>
        </w:rPr>
      </w:pPr>
    </w:p>
    <w:p w:rsidR="00246761" w:rsidRPr="00E36781" w:rsidRDefault="00246761" w:rsidP="00246761">
      <w:pPr>
        <w:pStyle w:val="ListParagraph"/>
        <w:numPr>
          <w:ilvl w:val="1"/>
          <w:numId w:val="37"/>
        </w:numPr>
        <w:autoSpaceDE w:val="0"/>
        <w:autoSpaceDN w:val="0"/>
        <w:adjustRightInd w:val="0"/>
        <w:rPr>
          <w:color w:val="000000"/>
        </w:rPr>
      </w:pPr>
      <w:r>
        <w:t>Any disclosure of the human subjects</w:t>
      </w:r>
      <w:r w:rsidR="00EA2AE3">
        <w:t>’</w:t>
      </w:r>
      <w:r>
        <w:t xml:space="preserve"> responses outside the research would not reasonably place the subjects at risk of criminal or civil liability or be damaging to the </w:t>
      </w:r>
      <w:r>
        <w:lastRenderedPageBreak/>
        <w:t>subjects</w:t>
      </w:r>
      <w:r w:rsidR="00EA2AE3">
        <w:t>’</w:t>
      </w:r>
      <w:r>
        <w:t xml:space="preserve"> financial standing, employability, educational advancement, or reputation; or</w:t>
      </w:r>
    </w:p>
    <w:p w:rsidR="00E36781" w:rsidRPr="00E36781" w:rsidRDefault="00E36781" w:rsidP="00E36781">
      <w:pPr>
        <w:autoSpaceDE w:val="0"/>
        <w:autoSpaceDN w:val="0"/>
        <w:adjustRightInd w:val="0"/>
        <w:rPr>
          <w:color w:val="000000"/>
        </w:rPr>
      </w:pPr>
    </w:p>
    <w:p w:rsidR="00246761" w:rsidRPr="00246761" w:rsidRDefault="00246761" w:rsidP="00246761">
      <w:pPr>
        <w:pStyle w:val="ListParagraph"/>
        <w:numPr>
          <w:ilvl w:val="1"/>
          <w:numId w:val="37"/>
        </w:numPr>
        <w:autoSpaceDE w:val="0"/>
        <w:autoSpaceDN w:val="0"/>
        <w:adjustRightInd w:val="0"/>
        <w:rPr>
          <w:color w:val="000000"/>
        </w:rPr>
      </w:pPr>
      <w:r>
        <w:t>The information obtained is recorded by the investigator in such a manner that the identity of the human subjects can readily be ascertained, directly or through identifiers linked to the subjects, and an IRB conducts a limited IRB review to make</w:t>
      </w:r>
      <w:r w:rsidR="00B60047">
        <w:t xml:space="preserve"> the determination required by</w:t>
      </w:r>
      <w:r w:rsidR="00EA2AE3">
        <w:t>,</w:t>
      </w:r>
      <w:r w:rsidR="00B60047">
        <w:t xml:space="preserve"> </w:t>
      </w:r>
      <w:r>
        <w:t>46.111(a)(7).</w:t>
      </w:r>
    </w:p>
    <w:p w:rsidR="00E36781" w:rsidRDefault="00E36781" w:rsidP="000220B6">
      <w:pPr>
        <w:autoSpaceDE w:val="0"/>
        <w:autoSpaceDN w:val="0"/>
        <w:adjustRightInd w:val="0"/>
        <w:rPr>
          <w:i/>
          <w:iCs/>
          <w:color w:val="000000"/>
        </w:rPr>
      </w:pPr>
    </w:p>
    <w:p w:rsidR="000220B6" w:rsidRPr="00B44CD1" w:rsidRDefault="000220B6" w:rsidP="00E36781">
      <w:pPr>
        <w:autoSpaceDE w:val="0"/>
        <w:autoSpaceDN w:val="0"/>
        <w:adjustRightInd w:val="0"/>
        <w:ind w:left="360"/>
        <w:rPr>
          <w:color w:val="000000"/>
        </w:rPr>
      </w:pPr>
      <w:r w:rsidRPr="000220B6">
        <w:rPr>
          <w:i/>
          <w:iCs/>
          <w:color w:val="000000"/>
        </w:rPr>
        <w:t xml:space="preserve">Examples: </w:t>
      </w:r>
      <w:r w:rsidRPr="00B44CD1">
        <w:rPr>
          <w:color w:val="000000"/>
        </w:rPr>
        <w:t>An anonymous survey r</w:t>
      </w:r>
      <w:r w:rsidR="00E36781">
        <w:rPr>
          <w:color w:val="000000"/>
        </w:rPr>
        <w:t>egarding workplace satisfaction.</w:t>
      </w:r>
      <w:r w:rsidR="006F6B00">
        <w:rPr>
          <w:color w:val="000000"/>
        </w:rPr>
        <w:t xml:space="preserve">  </w:t>
      </w:r>
      <w:r w:rsidRPr="00B44CD1">
        <w:rPr>
          <w:color w:val="000000"/>
        </w:rPr>
        <w:t xml:space="preserve">Surveying </w:t>
      </w:r>
      <w:r w:rsidR="00E36781">
        <w:rPr>
          <w:color w:val="000000"/>
        </w:rPr>
        <w:t>faculty</w:t>
      </w:r>
      <w:r w:rsidRPr="00B44CD1">
        <w:rPr>
          <w:color w:val="000000"/>
        </w:rPr>
        <w:t xml:space="preserve"> </w:t>
      </w:r>
      <w:r w:rsidR="00E36781">
        <w:rPr>
          <w:color w:val="000000"/>
        </w:rPr>
        <w:t>about a technique or an outcome</w:t>
      </w:r>
      <w:r w:rsidR="006F6B00">
        <w:rPr>
          <w:color w:val="000000"/>
        </w:rPr>
        <w:t xml:space="preserve">.  </w:t>
      </w:r>
      <w:r w:rsidRPr="00B44CD1">
        <w:rPr>
          <w:color w:val="000000"/>
        </w:rPr>
        <w:t>Polling students on the frequency of the</w:t>
      </w:r>
      <w:r w:rsidR="00E36781">
        <w:rPr>
          <w:color w:val="000000"/>
        </w:rPr>
        <w:t xml:space="preserve">ir visits to the campus library. </w:t>
      </w:r>
      <w:r w:rsidR="006F6B00">
        <w:rPr>
          <w:color w:val="000000"/>
        </w:rPr>
        <w:t xml:space="preserve"> </w:t>
      </w:r>
      <w:r w:rsidRPr="00B44CD1">
        <w:rPr>
          <w:color w:val="000000"/>
        </w:rPr>
        <w:t>Interviewing managers about a management style or best practice</w:t>
      </w:r>
      <w:r w:rsidR="006F6B00">
        <w:rPr>
          <w:color w:val="000000"/>
        </w:rPr>
        <w:t xml:space="preserve">. </w:t>
      </w:r>
      <w:r w:rsidRPr="00B44CD1">
        <w:rPr>
          <w:color w:val="000000"/>
        </w:rPr>
        <w:t xml:space="preserve"> </w:t>
      </w:r>
    </w:p>
    <w:p w:rsidR="000220B6" w:rsidRPr="000220B6" w:rsidRDefault="000220B6" w:rsidP="000220B6">
      <w:pPr>
        <w:autoSpaceDE w:val="0"/>
        <w:autoSpaceDN w:val="0"/>
        <w:adjustRightInd w:val="0"/>
        <w:rPr>
          <w:color w:val="000000"/>
        </w:rPr>
      </w:pPr>
    </w:p>
    <w:p w:rsidR="00E36781" w:rsidRDefault="00E36781" w:rsidP="00E36781">
      <w:pPr>
        <w:pStyle w:val="ListParagraph"/>
        <w:numPr>
          <w:ilvl w:val="0"/>
          <w:numId w:val="37"/>
        </w:numPr>
        <w:autoSpaceDE w:val="0"/>
        <w:autoSpaceDN w:val="0"/>
        <w:adjustRightInd w:val="0"/>
        <w:rPr>
          <w:bCs/>
          <w:color w:val="000000"/>
        </w:rPr>
      </w:pPr>
      <w:r w:rsidRPr="00E36781">
        <w:rPr>
          <w:bCs/>
          <w:color w:val="000000"/>
        </w:rPr>
        <w:t>Research involving benign behavioral interventions in conjunction with the collection of information from an adult subject through verbal or written responses (including data entry)</w:t>
      </w:r>
      <w:r w:rsidR="00290882">
        <w:rPr>
          <w:bCs/>
          <w:color w:val="000000"/>
        </w:rPr>
        <w:t>,</w:t>
      </w:r>
      <w:r w:rsidRPr="00E36781">
        <w:rPr>
          <w:bCs/>
          <w:color w:val="000000"/>
        </w:rPr>
        <w:t xml:space="preserve"> or audiovisual recording</w:t>
      </w:r>
      <w:r w:rsidR="00290882">
        <w:rPr>
          <w:bCs/>
          <w:color w:val="000000"/>
        </w:rPr>
        <w:t>,</w:t>
      </w:r>
      <w:r w:rsidRPr="00E36781">
        <w:rPr>
          <w:bCs/>
          <w:color w:val="000000"/>
        </w:rPr>
        <w:t xml:space="preserve"> if the subject prospectively agrees to the intervention and information collection and </w:t>
      </w:r>
      <w:r w:rsidRPr="00E36781">
        <w:rPr>
          <w:b/>
          <w:bCs/>
          <w:color w:val="000000"/>
          <w:u w:val="single"/>
        </w:rPr>
        <w:t>at least one</w:t>
      </w:r>
      <w:r w:rsidRPr="00E36781">
        <w:rPr>
          <w:bCs/>
          <w:color w:val="000000"/>
        </w:rPr>
        <w:t xml:space="preserve"> of the following criteria is met:</w:t>
      </w:r>
    </w:p>
    <w:p w:rsidR="00E36781" w:rsidRDefault="00E36781" w:rsidP="00E36781">
      <w:pPr>
        <w:pStyle w:val="ListParagraph"/>
        <w:autoSpaceDE w:val="0"/>
        <w:autoSpaceDN w:val="0"/>
        <w:adjustRightInd w:val="0"/>
        <w:ind w:left="360"/>
        <w:rPr>
          <w:bCs/>
          <w:color w:val="000000"/>
        </w:rPr>
      </w:pPr>
    </w:p>
    <w:p w:rsidR="00E36781" w:rsidRPr="00E36781" w:rsidRDefault="00E36781" w:rsidP="00E36781">
      <w:pPr>
        <w:pStyle w:val="ListParagraph"/>
        <w:numPr>
          <w:ilvl w:val="1"/>
          <w:numId w:val="37"/>
        </w:numPr>
        <w:autoSpaceDE w:val="0"/>
        <w:autoSpaceDN w:val="0"/>
        <w:adjustRightInd w:val="0"/>
        <w:rPr>
          <w:bCs/>
          <w:color w:val="000000"/>
        </w:rPr>
      </w:pPr>
      <w:r>
        <w:t>The information obtained is recorded by the investigator in such a manner that the identity of the human subjects cannot readily be ascertained, directly or through identifiers linked to the subjects;</w:t>
      </w:r>
    </w:p>
    <w:p w:rsidR="00E36781" w:rsidRPr="00E36781" w:rsidRDefault="00E36781" w:rsidP="00E36781">
      <w:pPr>
        <w:pStyle w:val="ListParagraph"/>
        <w:autoSpaceDE w:val="0"/>
        <w:autoSpaceDN w:val="0"/>
        <w:adjustRightInd w:val="0"/>
        <w:ind w:left="1080"/>
        <w:rPr>
          <w:bCs/>
          <w:color w:val="000000"/>
        </w:rPr>
      </w:pPr>
    </w:p>
    <w:p w:rsidR="00E36781" w:rsidRPr="00E36781" w:rsidRDefault="00E36781" w:rsidP="00E36781">
      <w:pPr>
        <w:pStyle w:val="ListParagraph"/>
        <w:numPr>
          <w:ilvl w:val="1"/>
          <w:numId w:val="37"/>
        </w:numPr>
        <w:autoSpaceDE w:val="0"/>
        <w:autoSpaceDN w:val="0"/>
        <w:adjustRightInd w:val="0"/>
        <w:rPr>
          <w:bCs/>
          <w:color w:val="000000"/>
        </w:rPr>
      </w:pPr>
      <w:r>
        <w:t>Any disclosure of the human subjects</w:t>
      </w:r>
      <w:r w:rsidR="00290882">
        <w:t>’</w:t>
      </w:r>
      <w:r>
        <w:t xml:space="preserve"> responses outside the research would not reasonably place the subjects at risk of criminal or civil liability or be damaging to the subjects</w:t>
      </w:r>
      <w:r w:rsidR="005F591E">
        <w:t>’</w:t>
      </w:r>
      <w:r>
        <w:t xml:space="preserve"> financial standing, employability, educational advancement, or reputation; or</w:t>
      </w:r>
    </w:p>
    <w:p w:rsidR="00E36781" w:rsidRDefault="00E36781" w:rsidP="00E36781">
      <w:pPr>
        <w:pStyle w:val="ListParagraph"/>
      </w:pPr>
    </w:p>
    <w:p w:rsidR="00E36781" w:rsidRPr="00E36781" w:rsidRDefault="00E36781" w:rsidP="00E36781">
      <w:pPr>
        <w:pStyle w:val="ListParagraph"/>
        <w:numPr>
          <w:ilvl w:val="1"/>
          <w:numId w:val="37"/>
        </w:numPr>
        <w:autoSpaceDE w:val="0"/>
        <w:autoSpaceDN w:val="0"/>
        <w:adjustRightInd w:val="0"/>
        <w:rPr>
          <w:bCs/>
          <w:color w:val="000000"/>
        </w:rPr>
      </w:pPr>
      <w:r>
        <w:t>The information obtained is recorded by the investigator in such a manner that the identity of the human subjects can readily be ascertained, directly or through identifiers linked to the subjects, and an IRB conducts a limited IRB review to make the det</w:t>
      </w:r>
      <w:r w:rsidR="00B60047">
        <w:t xml:space="preserve">ermination required by </w:t>
      </w:r>
      <w:r>
        <w:t>46.111(a)(7).</w:t>
      </w:r>
    </w:p>
    <w:p w:rsidR="00E36781" w:rsidRDefault="00E36781" w:rsidP="00E36781">
      <w:pPr>
        <w:pStyle w:val="ListParagraph"/>
      </w:pPr>
    </w:p>
    <w:p w:rsidR="00E36781" w:rsidRPr="0052667A" w:rsidRDefault="00E36781" w:rsidP="0052667A">
      <w:pPr>
        <w:autoSpaceDE w:val="0"/>
        <w:autoSpaceDN w:val="0"/>
        <w:adjustRightInd w:val="0"/>
        <w:ind w:left="720"/>
        <w:rPr>
          <w:bCs/>
          <w:i/>
          <w:color w:val="000000"/>
        </w:rPr>
      </w:pPr>
      <w:r w:rsidRPr="0052667A">
        <w:rPr>
          <w:i/>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r w:rsidR="000A591B">
        <w:rPr>
          <w:i/>
        </w:rPr>
        <w:t xml:space="preserve">  </w:t>
      </w:r>
      <w:r w:rsidRPr="0052667A">
        <w:rPr>
          <w:i/>
        </w:rPr>
        <w:t>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rsidR="0052667A" w:rsidRDefault="00E36781" w:rsidP="0052667A">
      <w:pPr>
        <w:pStyle w:val="NormalWeb"/>
        <w:ind w:left="720"/>
        <w:rPr>
          <w:i/>
        </w:rPr>
      </w:pPr>
      <w:r w:rsidRPr="0052667A">
        <w:rPr>
          <w:i/>
        </w:rPr>
        <w:lastRenderedPageBreak/>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0052667A" w:rsidRPr="005C5DDA" w:rsidRDefault="0052667A" w:rsidP="0052667A">
      <w:pPr>
        <w:pStyle w:val="NormalWeb"/>
        <w:numPr>
          <w:ilvl w:val="0"/>
          <w:numId w:val="37"/>
        </w:numPr>
        <w:autoSpaceDE w:val="0"/>
        <w:autoSpaceDN w:val="0"/>
        <w:adjustRightInd w:val="0"/>
        <w:spacing w:before="0" w:beforeAutospacing="0" w:after="0" w:afterAutospacing="0"/>
        <w:rPr>
          <w:color w:val="000000"/>
        </w:rPr>
      </w:pPr>
      <w:r w:rsidRPr="0052667A">
        <w:rPr>
          <w:bCs/>
          <w:color w:val="000000"/>
        </w:rPr>
        <w:t>Secondary research for which c</w:t>
      </w:r>
      <w:r w:rsidR="000220B6" w:rsidRPr="0052667A">
        <w:rPr>
          <w:bCs/>
          <w:color w:val="000000"/>
        </w:rPr>
        <w:t xml:space="preserve">onsent is </w:t>
      </w:r>
      <w:r w:rsidRPr="0052667A">
        <w:rPr>
          <w:bCs/>
          <w:color w:val="000000"/>
        </w:rPr>
        <w:t>n</w:t>
      </w:r>
      <w:r w:rsidR="000220B6" w:rsidRPr="0052667A">
        <w:rPr>
          <w:bCs/>
          <w:color w:val="000000"/>
        </w:rPr>
        <w:t xml:space="preserve">ot </w:t>
      </w:r>
      <w:r w:rsidRPr="0052667A">
        <w:rPr>
          <w:bCs/>
          <w:color w:val="000000"/>
        </w:rPr>
        <w:t>r</w:t>
      </w:r>
      <w:r w:rsidR="000220B6" w:rsidRPr="0052667A">
        <w:rPr>
          <w:bCs/>
          <w:color w:val="000000"/>
        </w:rPr>
        <w:t>equired</w:t>
      </w:r>
      <w:r w:rsidRPr="0052667A">
        <w:rPr>
          <w:bCs/>
          <w:color w:val="000000"/>
        </w:rPr>
        <w:t xml:space="preserve">: Secondary research uses of identifiable private information or identifiable biospecimens, if </w:t>
      </w:r>
      <w:r w:rsidRPr="0052667A">
        <w:rPr>
          <w:b/>
          <w:bCs/>
          <w:color w:val="000000"/>
          <w:u w:val="single"/>
        </w:rPr>
        <w:t>at least one</w:t>
      </w:r>
      <w:r w:rsidRPr="0052667A">
        <w:rPr>
          <w:bCs/>
          <w:color w:val="000000"/>
        </w:rPr>
        <w:t xml:space="preserve"> of the following criteria is met</w:t>
      </w:r>
      <w:r>
        <w:rPr>
          <w:bCs/>
          <w:color w:val="000000"/>
        </w:rPr>
        <w:t>:</w:t>
      </w:r>
    </w:p>
    <w:p w:rsidR="005C5DDA" w:rsidRPr="0052667A" w:rsidRDefault="005C5DDA" w:rsidP="005C5DDA">
      <w:pPr>
        <w:pStyle w:val="NormalWeb"/>
        <w:autoSpaceDE w:val="0"/>
        <w:autoSpaceDN w:val="0"/>
        <w:adjustRightInd w:val="0"/>
        <w:spacing w:before="0" w:beforeAutospacing="0" w:after="0" w:afterAutospacing="0"/>
        <w:ind w:left="360"/>
        <w:rPr>
          <w:color w:val="000000"/>
        </w:rPr>
      </w:pPr>
    </w:p>
    <w:p w:rsidR="0052667A" w:rsidRDefault="0052667A" w:rsidP="0052667A">
      <w:pPr>
        <w:pStyle w:val="NormalWeb"/>
        <w:numPr>
          <w:ilvl w:val="1"/>
          <w:numId w:val="37"/>
        </w:numPr>
        <w:autoSpaceDE w:val="0"/>
        <w:autoSpaceDN w:val="0"/>
        <w:adjustRightInd w:val="0"/>
        <w:spacing w:before="0" w:beforeAutospacing="0" w:after="0" w:afterAutospacing="0"/>
        <w:rPr>
          <w:color w:val="000000"/>
        </w:rPr>
      </w:pPr>
      <w:r w:rsidRPr="0052667A">
        <w:rPr>
          <w:color w:val="000000"/>
        </w:rPr>
        <w:t>The identifiable private information or identifiable biospecimens are publicly available;</w:t>
      </w:r>
    </w:p>
    <w:p w:rsidR="0052667A" w:rsidRPr="0052667A" w:rsidRDefault="0052667A" w:rsidP="0052667A">
      <w:pPr>
        <w:pStyle w:val="NormalWeb"/>
        <w:autoSpaceDE w:val="0"/>
        <w:autoSpaceDN w:val="0"/>
        <w:adjustRightInd w:val="0"/>
        <w:spacing w:before="0" w:beforeAutospacing="0" w:after="0" w:afterAutospacing="0"/>
        <w:ind w:left="1080"/>
        <w:rPr>
          <w:color w:val="000000"/>
        </w:rPr>
      </w:pPr>
    </w:p>
    <w:p w:rsidR="0052667A" w:rsidRDefault="0052667A" w:rsidP="0052667A">
      <w:pPr>
        <w:pStyle w:val="NormalWeb"/>
        <w:numPr>
          <w:ilvl w:val="1"/>
          <w:numId w:val="37"/>
        </w:numPr>
        <w:autoSpaceDE w:val="0"/>
        <w:autoSpaceDN w:val="0"/>
        <w:adjustRightInd w:val="0"/>
        <w:spacing w:before="0" w:beforeAutospacing="0" w:after="0" w:afterAutospacing="0"/>
        <w:rPr>
          <w:color w:val="000000"/>
        </w:rPr>
      </w:pPr>
      <w:r w:rsidRPr="0052667A">
        <w:rPr>
          <w:color w:val="00000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w:t>
      </w:r>
      <w:r>
        <w:rPr>
          <w:color w:val="000000"/>
        </w:rPr>
        <w:t>r will not re-identify subjects;</w:t>
      </w:r>
    </w:p>
    <w:p w:rsidR="0052667A" w:rsidRPr="0052667A" w:rsidRDefault="0052667A" w:rsidP="0052667A">
      <w:pPr>
        <w:pStyle w:val="NormalWeb"/>
        <w:autoSpaceDE w:val="0"/>
        <w:autoSpaceDN w:val="0"/>
        <w:adjustRightInd w:val="0"/>
        <w:spacing w:before="0" w:beforeAutospacing="0" w:after="0" w:afterAutospacing="0"/>
        <w:rPr>
          <w:color w:val="000000"/>
        </w:rPr>
      </w:pPr>
    </w:p>
    <w:p w:rsidR="0052667A" w:rsidRDefault="0052667A" w:rsidP="0052667A">
      <w:pPr>
        <w:pStyle w:val="NormalWeb"/>
        <w:numPr>
          <w:ilvl w:val="1"/>
          <w:numId w:val="37"/>
        </w:numPr>
        <w:autoSpaceDE w:val="0"/>
        <w:autoSpaceDN w:val="0"/>
        <w:adjustRightInd w:val="0"/>
        <w:spacing w:before="0" w:beforeAutospacing="0" w:after="0" w:afterAutospacing="0"/>
        <w:rPr>
          <w:color w:val="000000"/>
        </w:rPr>
      </w:pPr>
      <w:r w:rsidRPr="0052667A">
        <w:rPr>
          <w:color w:val="000000"/>
        </w:rPr>
        <w:t>The research involves only information collection and analysis involving the investigator</w:t>
      </w:r>
      <w:r w:rsidR="00110E42">
        <w:rPr>
          <w:color w:val="000000"/>
        </w:rPr>
        <w:t>’</w:t>
      </w:r>
      <w:r w:rsidRPr="0052667A">
        <w:rPr>
          <w:color w:val="000000"/>
        </w:rPr>
        <w:t>s use of identifiable health information when that use is regulated under 45 CFR parts 160 and 164, subparts A and E, for the purposes of “health care operations” or “research” as those terms are defined at 45 CFR 164.501 or for “public health activities and purposes</w:t>
      </w:r>
      <w:r w:rsidR="00FE74FA">
        <w:rPr>
          <w:color w:val="000000"/>
        </w:rPr>
        <w:t>,</w:t>
      </w:r>
      <w:r w:rsidRPr="0052667A">
        <w:rPr>
          <w:color w:val="000000"/>
        </w:rPr>
        <w:t>” as described under 45 CFR 164.512(b); or</w:t>
      </w:r>
    </w:p>
    <w:p w:rsidR="0052667A" w:rsidRDefault="0052667A" w:rsidP="0052667A">
      <w:pPr>
        <w:pStyle w:val="ListParagraph"/>
        <w:rPr>
          <w:color w:val="000000"/>
        </w:rPr>
      </w:pPr>
    </w:p>
    <w:p w:rsidR="000220B6" w:rsidRDefault="0052667A" w:rsidP="0052667A">
      <w:pPr>
        <w:pStyle w:val="NormalWeb"/>
        <w:numPr>
          <w:ilvl w:val="1"/>
          <w:numId w:val="37"/>
        </w:numPr>
        <w:autoSpaceDE w:val="0"/>
        <w:autoSpaceDN w:val="0"/>
        <w:adjustRightInd w:val="0"/>
        <w:spacing w:before="0" w:beforeAutospacing="0" w:after="0" w:afterAutospacing="0"/>
        <w:rPr>
          <w:color w:val="000000"/>
        </w:rPr>
      </w:pPr>
      <w:r w:rsidRPr="0052667A">
        <w:rPr>
          <w:color w:val="000000"/>
        </w:rPr>
        <w:t xml:space="preserve">The research is conducted by, or on behalf of, a </w:t>
      </w:r>
      <w:r w:rsidR="00FE74FA">
        <w:rPr>
          <w:color w:val="000000"/>
        </w:rPr>
        <w:t>f</w:t>
      </w:r>
      <w:r w:rsidRPr="0052667A">
        <w:rPr>
          <w:color w:val="000000"/>
        </w:rPr>
        <w:t>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00B44CD1" w:rsidRDefault="00B44CD1" w:rsidP="00B44CD1">
      <w:pPr>
        <w:autoSpaceDE w:val="0"/>
        <w:autoSpaceDN w:val="0"/>
        <w:adjustRightInd w:val="0"/>
        <w:ind w:left="720"/>
        <w:rPr>
          <w:i/>
          <w:iCs/>
          <w:color w:val="000000"/>
        </w:rPr>
      </w:pPr>
    </w:p>
    <w:p w:rsidR="000220B6" w:rsidRDefault="000220B6" w:rsidP="005C5DDA">
      <w:pPr>
        <w:autoSpaceDE w:val="0"/>
        <w:autoSpaceDN w:val="0"/>
        <w:adjustRightInd w:val="0"/>
        <w:ind w:left="360"/>
        <w:rPr>
          <w:color w:val="000000"/>
        </w:rPr>
      </w:pPr>
      <w:r w:rsidRPr="000220B6">
        <w:rPr>
          <w:i/>
          <w:iCs/>
          <w:color w:val="000000"/>
        </w:rPr>
        <w:t xml:space="preserve">Examples: </w:t>
      </w:r>
      <w:r w:rsidRPr="00B44CD1">
        <w:rPr>
          <w:color w:val="000000"/>
        </w:rPr>
        <w:t>Analyzing de-</w:t>
      </w:r>
      <w:r w:rsidR="0052667A">
        <w:rPr>
          <w:color w:val="000000"/>
        </w:rPr>
        <w:t>identified national test scores.</w:t>
      </w:r>
      <w:r w:rsidR="00FE74FA">
        <w:rPr>
          <w:color w:val="000000"/>
        </w:rPr>
        <w:t xml:space="preserve">  </w:t>
      </w:r>
      <w:r w:rsidRPr="00B44CD1">
        <w:rPr>
          <w:color w:val="000000"/>
        </w:rPr>
        <w:t>Analyzing census data about aging or housing</w:t>
      </w:r>
      <w:r w:rsidR="0052667A">
        <w:rPr>
          <w:color w:val="000000"/>
        </w:rPr>
        <w:t>.</w:t>
      </w:r>
    </w:p>
    <w:p w:rsidR="00B44CD1" w:rsidRPr="00B44CD1" w:rsidRDefault="00B44CD1" w:rsidP="00B44CD1">
      <w:pPr>
        <w:autoSpaceDE w:val="0"/>
        <w:autoSpaceDN w:val="0"/>
        <w:adjustRightInd w:val="0"/>
        <w:rPr>
          <w:color w:val="000000"/>
        </w:rPr>
      </w:pPr>
    </w:p>
    <w:p w:rsidR="000220B6" w:rsidRPr="0052667A" w:rsidRDefault="0052667A" w:rsidP="0052667A">
      <w:pPr>
        <w:pStyle w:val="ListParagraph"/>
        <w:numPr>
          <w:ilvl w:val="0"/>
          <w:numId w:val="37"/>
        </w:numPr>
        <w:autoSpaceDE w:val="0"/>
        <w:autoSpaceDN w:val="0"/>
        <w:adjustRightInd w:val="0"/>
        <w:rPr>
          <w:color w:val="000000"/>
        </w:rPr>
      </w:pPr>
      <w:r>
        <w:t xml:space="preserve">Research and demonstration projects that are conducted or supported by a </w:t>
      </w:r>
      <w:r w:rsidR="00B12477">
        <w:t>f</w:t>
      </w:r>
      <w:r>
        <w:t xml:space="preserve">ederal department or agency, or otherwise subject to the approval of department or agency heads (or the approval of the heads of bureaus or other subordinate agencies that have been delegated </w:t>
      </w:r>
      <w:r>
        <w:lastRenderedPageBreak/>
        <w:t>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r w:rsidR="00B12477">
        <w:t xml:space="preserve">  </w:t>
      </w:r>
      <w:r>
        <w:t xml:space="preserve">Such projects include, but are not limited to, internal studies by </w:t>
      </w:r>
      <w:r w:rsidR="00B12477">
        <w:t>f</w:t>
      </w:r>
      <w:r>
        <w:t>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52667A" w:rsidRDefault="0052667A" w:rsidP="0052667A">
      <w:pPr>
        <w:autoSpaceDE w:val="0"/>
        <w:autoSpaceDN w:val="0"/>
        <w:adjustRightInd w:val="0"/>
        <w:rPr>
          <w:color w:val="000000"/>
        </w:rPr>
      </w:pPr>
    </w:p>
    <w:p w:rsidR="0052667A" w:rsidRDefault="0052667A" w:rsidP="0052667A">
      <w:pPr>
        <w:autoSpaceDE w:val="0"/>
        <w:autoSpaceDN w:val="0"/>
        <w:adjustRightInd w:val="0"/>
        <w:ind w:left="360"/>
        <w:rPr>
          <w:i/>
        </w:rPr>
      </w:pPr>
      <w:r w:rsidRPr="0052667A">
        <w:rPr>
          <w:i/>
        </w:rPr>
        <w:t xml:space="preserve">Each </w:t>
      </w:r>
      <w:r w:rsidR="00E665D1">
        <w:rPr>
          <w:i/>
        </w:rPr>
        <w:t>f</w:t>
      </w:r>
      <w:r w:rsidRPr="0052667A">
        <w:rPr>
          <w:i/>
        </w:rPr>
        <w:t xml:space="preserve">ederal department or agency conducting or supporting the research and demonstration projects must establish, on a publicly accessible </w:t>
      </w:r>
      <w:r w:rsidR="00E665D1">
        <w:rPr>
          <w:i/>
        </w:rPr>
        <w:t>f</w:t>
      </w:r>
      <w:r w:rsidRPr="0052667A">
        <w:rPr>
          <w:i/>
        </w:rPr>
        <w:t xml:space="preserve">ederal </w:t>
      </w:r>
      <w:r w:rsidR="00E665D1">
        <w:rPr>
          <w:i/>
        </w:rPr>
        <w:t>website</w:t>
      </w:r>
      <w:r w:rsidRPr="0052667A">
        <w:rPr>
          <w:i/>
        </w:rPr>
        <w:t xml:space="preserve"> or in such other manner as the department or agency head may determine, a list of the research and demonstration projects that the </w:t>
      </w:r>
      <w:r w:rsidR="00E665D1">
        <w:rPr>
          <w:i/>
        </w:rPr>
        <w:t>f</w:t>
      </w:r>
      <w:r w:rsidRPr="0052667A">
        <w:rPr>
          <w:i/>
        </w:rPr>
        <w:t>ederal department or agency conducts or supports under this provision.</w:t>
      </w:r>
      <w:r w:rsidR="00E665D1">
        <w:rPr>
          <w:i/>
        </w:rPr>
        <w:t xml:space="preserve">  </w:t>
      </w:r>
      <w:r w:rsidRPr="0052667A">
        <w:rPr>
          <w:i/>
        </w:rPr>
        <w:t>The research or demonstration project must be published on this list prior to commencing the research involving human subjects.</w:t>
      </w:r>
    </w:p>
    <w:p w:rsidR="0052667A" w:rsidRDefault="0052667A" w:rsidP="0052667A">
      <w:pPr>
        <w:autoSpaceDE w:val="0"/>
        <w:autoSpaceDN w:val="0"/>
        <w:adjustRightInd w:val="0"/>
        <w:ind w:left="360"/>
        <w:rPr>
          <w:i/>
        </w:rPr>
      </w:pPr>
    </w:p>
    <w:p w:rsidR="0052667A" w:rsidRDefault="0052667A" w:rsidP="0052667A">
      <w:pPr>
        <w:pStyle w:val="NormalWeb"/>
        <w:numPr>
          <w:ilvl w:val="0"/>
          <w:numId w:val="37"/>
        </w:numPr>
        <w:spacing w:before="0" w:beforeAutospacing="0" w:after="0" w:afterAutospacing="0"/>
      </w:pPr>
      <w:r>
        <w:t>Taste and food quality evaluation and consumer acceptance studies:</w:t>
      </w:r>
    </w:p>
    <w:p w:rsidR="0052667A" w:rsidRDefault="0052667A" w:rsidP="0052667A">
      <w:pPr>
        <w:pStyle w:val="NormalWeb"/>
        <w:spacing w:before="0" w:beforeAutospacing="0" w:after="0" w:afterAutospacing="0"/>
      </w:pPr>
    </w:p>
    <w:p w:rsidR="0052667A" w:rsidRDefault="0052667A" w:rsidP="0052667A">
      <w:pPr>
        <w:pStyle w:val="NormalWeb"/>
        <w:numPr>
          <w:ilvl w:val="1"/>
          <w:numId w:val="37"/>
        </w:numPr>
        <w:spacing w:before="0" w:beforeAutospacing="0" w:after="0" w:afterAutospacing="0"/>
      </w:pPr>
      <w:r>
        <w:t>If wholesome foods without additives are consumed, or</w:t>
      </w:r>
    </w:p>
    <w:p w:rsidR="0052667A" w:rsidRDefault="0052667A" w:rsidP="0052667A">
      <w:pPr>
        <w:pStyle w:val="NormalWeb"/>
        <w:spacing w:before="0" w:beforeAutospacing="0" w:after="0" w:afterAutospacing="0"/>
        <w:ind w:left="1080"/>
      </w:pPr>
    </w:p>
    <w:p w:rsidR="00E9511D" w:rsidRDefault="0052667A" w:rsidP="00E9511D">
      <w:pPr>
        <w:pStyle w:val="NormalWeb"/>
        <w:numPr>
          <w:ilvl w:val="1"/>
          <w:numId w:val="37"/>
        </w:numPr>
        <w:spacing w:before="0" w:beforeAutospacing="0" w:after="0" w:afterAutospacing="0"/>
      </w:pPr>
      <w: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E9511D" w:rsidRDefault="00E9511D" w:rsidP="00E9511D">
      <w:pPr>
        <w:pStyle w:val="ListParagraph"/>
      </w:pPr>
    </w:p>
    <w:p w:rsidR="00B60047" w:rsidRPr="006A45BD" w:rsidRDefault="006A45BD" w:rsidP="00B60047">
      <w:pPr>
        <w:autoSpaceDE w:val="0"/>
        <w:autoSpaceDN w:val="0"/>
        <w:adjustRightInd w:val="0"/>
        <w:rPr>
          <w:b/>
          <w:bCs/>
          <w:color w:val="0070C0"/>
          <w:u w:val="single"/>
        </w:rPr>
      </w:pPr>
      <w:r>
        <w:rPr>
          <w:b/>
          <w:bCs/>
          <w:color w:val="0070C0"/>
          <w:u w:val="single"/>
        </w:rPr>
        <w:t xml:space="preserve">45 CFR 46.116 </w:t>
      </w:r>
      <w:hyperlink r:id="rId12" w:anchor="se45.1.46_1116" w:history="1">
        <w:r w:rsidR="00B60047" w:rsidRPr="006A45BD">
          <w:rPr>
            <w:rStyle w:val="Hyperlink"/>
            <w:b/>
            <w:bCs/>
            <w:color w:val="0070C0"/>
          </w:rPr>
          <w:t>Informed Consent Process</w:t>
        </w:r>
      </w:hyperlink>
      <w:r>
        <w:rPr>
          <w:b/>
          <w:bCs/>
          <w:color w:val="0070C0"/>
          <w:u w:val="single"/>
        </w:rPr>
        <w:t xml:space="preserve"> </w:t>
      </w:r>
      <w:r w:rsidRPr="005C5DDA">
        <w:rPr>
          <w:b/>
          <w:i/>
          <w:color w:val="0070C0"/>
        </w:rPr>
        <w:t>(follow link</w:t>
      </w:r>
      <w:r w:rsidR="00A37076">
        <w:rPr>
          <w:b/>
          <w:i/>
          <w:color w:val="0070C0"/>
        </w:rPr>
        <w:t xml:space="preserve"> for more information</w:t>
      </w:r>
      <w:r w:rsidRPr="005C5DDA">
        <w:rPr>
          <w:b/>
          <w:i/>
          <w:color w:val="0070C0"/>
        </w:rPr>
        <w:t>)</w:t>
      </w:r>
    </w:p>
    <w:p w:rsidR="00B60047" w:rsidRDefault="00B60047" w:rsidP="00B60047">
      <w:pPr>
        <w:autoSpaceDE w:val="0"/>
        <w:autoSpaceDN w:val="0"/>
        <w:adjustRightInd w:val="0"/>
        <w:rPr>
          <w:color w:val="000000"/>
        </w:rPr>
      </w:pPr>
      <w:r>
        <w:rPr>
          <w:color w:val="000000"/>
        </w:rPr>
        <w:t xml:space="preserve">While federal regulation 45 CFR 46.116 </w:t>
      </w:r>
      <w:r>
        <w:rPr>
          <w:color w:val="000000"/>
          <w:u w:val="single"/>
        </w:rPr>
        <w:t xml:space="preserve">does not </w:t>
      </w:r>
      <w:r w:rsidRPr="00F16F90">
        <w:rPr>
          <w:color w:val="000000"/>
        </w:rPr>
        <w:t>apply</w:t>
      </w:r>
      <w:r>
        <w:rPr>
          <w:color w:val="000000"/>
        </w:rPr>
        <w:t xml:space="preserve"> to s</w:t>
      </w:r>
      <w:r w:rsidRPr="00F16F90">
        <w:rPr>
          <w:color w:val="000000"/>
        </w:rPr>
        <w:t>tudies</w:t>
      </w:r>
      <w:r>
        <w:rPr>
          <w:color w:val="000000"/>
        </w:rPr>
        <w:t xml:space="preserve"> that met the criteria for exemption and were deemed exempt by the IRB, the study is still </w:t>
      </w:r>
      <w:r w:rsidR="00333DE8">
        <w:rPr>
          <w:color w:val="000000"/>
        </w:rPr>
        <w:t xml:space="preserve">considered </w:t>
      </w:r>
      <w:r>
        <w:rPr>
          <w:color w:val="000000"/>
        </w:rPr>
        <w:t>research with human subjects and</w:t>
      </w:r>
      <w:r w:rsidR="00583823">
        <w:rPr>
          <w:color w:val="000000"/>
        </w:rPr>
        <w:t>,</w:t>
      </w:r>
      <w:r>
        <w:rPr>
          <w:color w:val="000000"/>
        </w:rPr>
        <w:t xml:space="preserve"> therefore, the ethical principles as outline</w:t>
      </w:r>
      <w:r w:rsidR="00583823">
        <w:rPr>
          <w:color w:val="000000"/>
        </w:rPr>
        <w:t>d</w:t>
      </w:r>
      <w:r>
        <w:rPr>
          <w:color w:val="000000"/>
        </w:rPr>
        <w:t xml:space="preserve"> in the </w:t>
      </w:r>
      <w:r w:rsidRPr="00F16F90">
        <w:rPr>
          <w:i/>
          <w:color w:val="000000"/>
        </w:rPr>
        <w:t>Belmont Report</w:t>
      </w:r>
      <w:r w:rsidR="00583823">
        <w:rPr>
          <w:i/>
          <w:color w:val="000000"/>
        </w:rPr>
        <w:t>,</w:t>
      </w:r>
      <w:r>
        <w:rPr>
          <w:color w:val="000000"/>
        </w:rPr>
        <w:t xml:space="preserve"> </w:t>
      </w:r>
      <w:r w:rsidRPr="00B60047">
        <w:rPr>
          <w:color w:val="000000"/>
          <w:u w:val="single"/>
        </w:rPr>
        <w:t>do</w:t>
      </w:r>
      <w:r>
        <w:rPr>
          <w:color w:val="000000"/>
        </w:rPr>
        <w:t xml:space="preserve"> still apply.</w:t>
      </w:r>
      <w:r w:rsidR="00333DE8">
        <w:rPr>
          <w:color w:val="000000"/>
        </w:rPr>
        <w:t xml:space="preserve">  </w:t>
      </w:r>
      <w:r>
        <w:rPr>
          <w:color w:val="000000"/>
        </w:rPr>
        <w:t>Exempt protocols are still required to obtain informed consent from subjects and should be provided in a language that subject</w:t>
      </w:r>
      <w:r w:rsidR="00333DE8">
        <w:rPr>
          <w:color w:val="000000"/>
        </w:rPr>
        <w:t>s</w:t>
      </w:r>
      <w:r>
        <w:rPr>
          <w:color w:val="000000"/>
        </w:rPr>
        <w:t xml:space="preserve"> understand. </w:t>
      </w:r>
    </w:p>
    <w:p w:rsidR="00B60047" w:rsidRDefault="00B60047" w:rsidP="00B60047">
      <w:pPr>
        <w:autoSpaceDE w:val="0"/>
        <w:autoSpaceDN w:val="0"/>
        <w:adjustRightInd w:val="0"/>
        <w:rPr>
          <w:color w:val="000000"/>
        </w:rPr>
      </w:pPr>
    </w:p>
    <w:p w:rsidR="00B60047" w:rsidRDefault="00B60047" w:rsidP="00B60047">
      <w:pPr>
        <w:autoSpaceDE w:val="0"/>
        <w:autoSpaceDN w:val="0"/>
        <w:adjustRightInd w:val="0"/>
        <w:rPr>
          <w:color w:val="000000"/>
        </w:rPr>
      </w:pPr>
      <w:r>
        <w:rPr>
          <w:color w:val="000000"/>
        </w:rPr>
        <w:t>As noted in regulation 46.116(b), nine basic elements must be listed on the informed consent</w:t>
      </w:r>
      <w:r w:rsidR="00442C88">
        <w:rPr>
          <w:color w:val="000000"/>
        </w:rPr>
        <w:t xml:space="preserve"> form</w:t>
      </w:r>
      <w:r>
        <w:rPr>
          <w:color w:val="000000"/>
        </w:rPr>
        <w:t xml:space="preserve">. </w:t>
      </w:r>
      <w:r w:rsidR="00442C88">
        <w:rPr>
          <w:color w:val="000000"/>
        </w:rPr>
        <w:t xml:space="preserve"> </w:t>
      </w:r>
      <w:r>
        <w:rPr>
          <w:color w:val="000000"/>
        </w:rPr>
        <w:t xml:space="preserve">Depending on nature of research and risks involved, there may be additional required elements, as noted in 46.116(c).  </w:t>
      </w:r>
    </w:p>
    <w:p w:rsidR="00B60047" w:rsidRDefault="00B60047" w:rsidP="00B60047">
      <w:pPr>
        <w:autoSpaceDE w:val="0"/>
        <w:autoSpaceDN w:val="0"/>
        <w:adjustRightInd w:val="0"/>
        <w:rPr>
          <w:color w:val="000000"/>
        </w:rPr>
      </w:pPr>
    </w:p>
    <w:p w:rsidR="00B60047" w:rsidRDefault="00B60047" w:rsidP="00B60047">
      <w:pPr>
        <w:autoSpaceDE w:val="0"/>
        <w:autoSpaceDN w:val="0"/>
        <w:adjustRightInd w:val="0"/>
        <w:rPr>
          <w:color w:val="000000"/>
        </w:rPr>
      </w:pPr>
      <w:r>
        <w:rPr>
          <w:color w:val="000000"/>
        </w:rPr>
        <w:lastRenderedPageBreak/>
        <w:t xml:space="preserve">Subjects may not be asked to waive or even appear to waive any of their legal rights.  Additionally, they may not be asked to release a researcher, sponsor, or institution from liability for negligence. </w:t>
      </w:r>
    </w:p>
    <w:p w:rsidR="00B60047" w:rsidRDefault="00B60047" w:rsidP="00B60047">
      <w:pPr>
        <w:autoSpaceDE w:val="0"/>
        <w:autoSpaceDN w:val="0"/>
        <w:adjustRightInd w:val="0"/>
        <w:rPr>
          <w:color w:val="000000"/>
        </w:rPr>
      </w:pPr>
    </w:p>
    <w:p w:rsidR="00B60047" w:rsidRDefault="00B60047" w:rsidP="00B60047">
      <w:pPr>
        <w:autoSpaceDE w:val="0"/>
        <w:autoSpaceDN w:val="0"/>
        <w:adjustRightInd w:val="0"/>
        <w:rPr>
          <w:color w:val="000000"/>
        </w:rPr>
      </w:pPr>
      <w:r>
        <w:rPr>
          <w:color w:val="000000"/>
        </w:rPr>
        <w:t>The IRB must ensure that appropriate safeguards are in place to protect the rights and welfare of subjects likely to be vulnerable to coercion or undue influence (vulnerable populations). Vulnerable populations include children (under 18 years old), prisoners, individuals with impaired decision-making capacity, pregnant woman, or economically or educationally disadvantage persons.  Additional safeguards for th</w:t>
      </w:r>
      <w:r w:rsidR="00442C88">
        <w:rPr>
          <w:color w:val="000000"/>
        </w:rPr>
        <w:t>ese</w:t>
      </w:r>
      <w:r>
        <w:rPr>
          <w:color w:val="000000"/>
        </w:rPr>
        <w:t xml:space="preserve"> groups are provided in regulations Subpart B, C, and D.</w:t>
      </w:r>
    </w:p>
    <w:p w:rsidR="00A37076" w:rsidRDefault="00A37076" w:rsidP="00A37076">
      <w:pPr>
        <w:pStyle w:val="NormalWeb"/>
      </w:pPr>
      <w:r w:rsidRPr="0067007B">
        <w:rPr>
          <w:rStyle w:val="Strong"/>
          <w:u w:val="single"/>
        </w:rPr>
        <w:t>Waiver of consent</w:t>
      </w:r>
      <w:r>
        <w:br/>
        <w:t xml:space="preserve">The IRB can </w:t>
      </w:r>
      <w:hyperlink r:id="rId13" w:history="1">
        <w:r w:rsidRPr="0067007B">
          <w:rPr>
            <w:rStyle w:val="Hyperlink"/>
            <w:color w:val="auto"/>
            <w:u w:val="none"/>
          </w:rPr>
          <w:t>alter or waive the general requirements for consent</w:t>
        </w:r>
      </w:hyperlink>
      <w:r w:rsidRPr="0067007B">
        <w:t xml:space="preserve"> </w:t>
      </w:r>
      <w:r>
        <w:t>when the following apply:</w:t>
      </w:r>
    </w:p>
    <w:p w:rsidR="00A37076" w:rsidRDefault="00A37076" w:rsidP="00A37076">
      <w:pPr>
        <w:numPr>
          <w:ilvl w:val="0"/>
          <w:numId w:val="39"/>
        </w:numPr>
        <w:spacing w:before="100" w:beforeAutospacing="1" w:after="100" w:afterAutospacing="1"/>
      </w:pPr>
      <w:r w:rsidRPr="00A37076">
        <w:rPr>
          <w:bCs/>
          <w:color w:val="000000"/>
        </w:rPr>
        <w:t>The research</w:t>
      </w:r>
      <w:r>
        <w:t xml:space="preserve"> involves no more than minimal risk to the subjects; </w:t>
      </w:r>
    </w:p>
    <w:p w:rsidR="00A37076" w:rsidRDefault="00A37076" w:rsidP="00A37076">
      <w:pPr>
        <w:numPr>
          <w:ilvl w:val="0"/>
          <w:numId w:val="39"/>
        </w:numPr>
        <w:spacing w:before="100" w:beforeAutospacing="1" w:after="100" w:afterAutospacing="1"/>
      </w:pPr>
      <w:r>
        <w:t xml:space="preserve">The waiver or alteration will not adversely affect the rights and welfare of the subjects; </w:t>
      </w:r>
    </w:p>
    <w:p w:rsidR="00A37076" w:rsidRDefault="00A37076" w:rsidP="00A37076">
      <w:pPr>
        <w:numPr>
          <w:ilvl w:val="0"/>
          <w:numId w:val="39"/>
        </w:numPr>
        <w:spacing w:before="100" w:beforeAutospacing="1" w:after="100" w:afterAutospacing="1"/>
      </w:pPr>
      <w:r>
        <w:t>The research could not practicably be carried</w:t>
      </w:r>
      <w:r w:rsidR="00F91116">
        <w:t>-</w:t>
      </w:r>
      <w:r>
        <w:t xml:space="preserve">out without the waiver or alteration; and </w:t>
      </w:r>
    </w:p>
    <w:p w:rsidR="00A37076" w:rsidRDefault="00A37076" w:rsidP="00A37076">
      <w:pPr>
        <w:numPr>
          <w:ilvl w:val="0"/>
          <w:numId w:val="39"/>
        </w:numPr>
        <w:spacing w:before="100" w:beforeAutospacing="1" w:after="100" w:afterAutospacing="1"/>
      </w:pPr>
      <w:r>
        <w:t xml:space="preserve">Whenever appropriate, the subjects will be provided with additional pertinent information after participation. </w:t>
      </w:r>
    </w:p>
    <w:p w:rsidR="006A45BD" w:rsidRPr="00A37076" w:rsidRDefault="00343E3C" w:rsidP="006A45BD">
      <w:pPr>
        <w:autoSpaceDE w:val="0"/>
        <w:autoSpaceDN w:val="0"/>
        <w:adjustRightInd w:val="0"/>
        <w:rPr>
          <w:b/>
          <w:i/>
          <w:color w:val="0070C0"/>
          <w:u w:val="single"/>
        </w:rPr>
      </w:pPr>
      <w:hyperlink r:id="rId14" w:anchor="se45.1.46_1117" w:history="1">
        <w:r w:rsidR="00A37076" w:rsidRPr="00A37076">
          <w:rPr>
            <w:rStyle w:val="Hyperlink"/>
            <w:b/>
            <w:color w:val="0070C0"/>
          </w:rPr>
          <w:t xml:space="preserve">45 CFR 46.117 </w:t>
        </w:r>
        <w:r w:rsidR="006A45BD" w:rsidRPr="00A37076">
          <w:rPr>
            <w:rStyle w:val="Hyperlink"/>
            <w:b/>
            <w:color w:val="0070C0"/>
          </w:rPr>
          <w:t>Documentation of Informed Consent</w:t>
        </w:r>
      </w:hyperlink>
      <w:r w:rsidR="00A37076">
        <w:rPr>
          <w:b/>
          <w:color w:val="0070C0"/>
          <w:u w:val="single"/>
        </w:rPr>
        <w:t xml:space="preserve"> (</w:t>
      </w:r>
      <w:r w:rsidR="00A37076">
        <w:rPr>
          <w:b/>
          <w:i/>
          <w:color w:val="0070C0"/>
          <w:u w:val="single"/>
        </w:rPr>
        <w:t>follow link for more information)</w:t>
      </w:r>
    </w:p>
    <w:p w:rsidR="006A45BD" w:rsidRDefault="006A45BD" w:rsidP="006A45BD">
      <w:pPr>
        <w:autoSpaceDE w:val="0"/>
        <w:autoSpaceDN w:val="0"/>
        <w:adjustRightInd w:val="0"/>
        <w:rPr>
          <w:color w:val="000000"/>
        </w:rPr>
      </w:pPr>
      <w:r>
        <w:rPr>
          <w:color w:val="000000"/>
        </w:rPr>
        <w:t xml:space="preserve">When documentation of informed consent is required, these are the two allowable methods: </w:t>
      </w:r>
    </w:p>
    <w:p w:rsidR="006A45BD" w:rsidRDefault="006A45BD" w:rsidP="006A45BD">
      <w:pPr>
        <w:autoSpaceDE w:val="0"/>
        <w:autoSpaceDN w:val="0"/>
        <w:adjustRightInd w:val="0"/>
        <w:rPr>
          <w:color w:val="000000"/>
        </w:rPr>
      </w:pPr>
    </w:p>
    <w:p w:rsidR="006A45BD" w:rsidRDefault="006A45BD" w:rsidP="006A45BD">
      <w:pPr>
        <w:numPr>
          <w:ilvl w:val="0"/>
          <w:numId w:val="18"/>
        </w:numPr>
        <w:autoSpaceDE w:val="0"/>
        <w:autoSpaceDN w:val="0"/>
        <w:adjustRightInd w:val="0"/>
        <w:rPr>
          <w:color w:val="000000"/>
        </w:rPr>
      </w:pPr>
      <w:r w:rsidRPr="00DC7BE7">
        <w:rPr>
          <w:color w:val="000000"/>
        </w:rPr>
        <w:t>The subject or the subject</w:t>
      </w:r>
      <w:r w:rsidR="00F91116">
        <w:rPr>
          <w:color w:val="000000"/>
        </w:rPr>
        <w:t>’</w:t>
      </w:r>
      <w:r w:rsidRPr="00DC7BE7">
        <w:rPr>
          <w:color w:val="000000"/>
        </w:rPr>
        <w:t xml:space="preserve">s legally authorized representative signs </w:t>
      </w:r>
      <w:r>
        <w:rPr>
          <w:color w:val="000000"/>
        </w:rPr>
        <w:t xml:space="preserve">the consent form, either by </w:t>
      </w:r>
      <w:r w:rsidRPr="00DC7BE7">
        <w:rPr>
          <w:color w:val="000000"/>
        </w:rPr>
        <w:t>hand or electronically</w:t>
      </w:r>
      <w:r>
        <w:rPr>
          <w:color w:val="000000"/>
        </w:rPr>
        <w:t xml:space="preserve">, </w:t>
      </w:r>
      <w:r w:rsidRPr="00DC7BE7">
        <w:rPr>
          <w:color w:val="000000"/>
        </w:rPr>
        <w:t>containing all the required elements of consent and any additional information necessary to provide complete disclosure.</w:t>
      </w:r>
      <w:r w:rsidR="00F91116">
        <w:rPr>
          <w:color w:val="000000"/>
        </w:rPr>
        <w:t xml:space="preserve">  </w:t>
      </w:r>
      <w:r w:rsidRPr="00DC7BE7">
        <w:rPr>
          <w:color w:val="000000"/>
        </w:rPr>
        <w:t>The person who signed the consent form is given a copy as a reference and reminder of the information conveyed.</w:t>
      </w:r>
    </w:p>
    <w:p w:rsidR="006A45BD" w:rsidRPr="00DC7BE7" w:rsidRDefault="006A45BD" w:rsidP="006A45BD">
      <w:pPr>
        <w:autoSpaceDE w:val="0"/>
        <w:autoSpaceDN w:val="0"/>
        <w:adjustRightInd w:val="0"/>
        <w:ind w:left="720"/>
        <w:rPr>
          <w:color w:val="000000"/>
        </w:rPr>
      </w:pPr>
    </w:p>
    <w:p w:rsidR="006A45BD" w:rsidRDefault="006A45BD" w:rsidP="006A45BD">
      <w:pPr>
        <w:numPr>
          <w:ilvl w:val="0"/>
          <w:numId w:val="18"/>
        </w:numPr>
        <w:autoSpaceDE w:val="0"/>
        <w:autoSpaceDN w:val="0"/>
        <w:adjustRightInd w:val="0"/>
        <w:rPr>
          <w:color w:val="000000"/>
        </w:rPr>
      </w:pPr>
      <w:r>
        <w:rPr>
          <w:color w:val="000000"/>
        </w:rPr>
        <w:t>C</w:t>
      </w:r>
      <w:r w:rsidRPr="00DC7BE7">
        <w:rPr>
          <w:color w:val="000000"/>
        </w:rPr>
        <w:t xml:space="preserve">onsent is </w:t>
      </w:r>
      <w:r w:rsidR="00F91116">
        <w:rPr>
          <w:color w:val="000000"/>
        </w:rPr>
        <w:t>described</w:t>
      </w:r>
      <w:r w:rsidRPr="00DC7BE7">
        <w:rPr>
          <w:color w:val="000000"/>
        </w:rPr>
        <w:t xml:space="preserve"> orally</w:t>
      </w:r>
      <w:r>
        <w:rPr>
          <w:color w:val="000000"/>
        </w:rPr>
        <w:t>,</w:t>
      </w:r>
      <w:r w:rsidRPr="00DC7BE7">
        <w:rPr>
          <w:color w:val="000000"/>
        </w:rPr>
        <w:t xml:space="preserve"> in language understandable to the subject</w:t>
      </w:r>
      <w:r>
        <w:rPr>
          <w:color w:val="000000"/>
        </w:rPr>
        <w:t>,</w:t>
      </w:r>
      <w:r w:rsidRPr="00DC7BE7">
        <w:rPr>
          <w:color w:val="000000"/>
        </w:rPr>
        <w:t xml:space="preserve"> and is documented by an impartial witness.</w:t>
      </w:r>
      <w:r w:rsidR="00F91116">
        <w:rPr>
          <w:color w:val="000000"/>
        </w:rPr>
        <w:t xml:space="preserve">  </w:t>
      </w:r>
      <w:r w:rsidRPr="00DC7BE7">
        <w:rPr>
          <w:color w:val="000000"/>
        </w:rPr>
        <w:t>This process uses two documents: (1) a short</w:t>
      </w:r>
      <w:r>
        <w:rPr>
          <w:color w:val="000000"/>
        </w:rPr>
        <w:t xml:space="preserve"> </w:t>
      </w:r>
      <w:r w:rsidRPr="00DC7BE7">
        <w:rPr>
          <w:color w:val="000000"/>
        </w:rPr>
        <w:t>form written consent document stating that the required elements of consent have been presented orally to the subject or the subject</w:t>
      </w:r>
      <w:r w:rsidR="00F91116">
        <w:rPr>
          <w:color w:val="000000"/>
        </w:rPr>
        <w:t>’</w:t>
      </w:r>
      <w:r w:rsidRPr="00DC7BE7">
        <w:rPr>
          <w:color w:val="000000"/>
        </w:rPr>
        <w:t>s legally authorized representative, and (2) a written, IRB-approved summary of what will be said to the subject or the subject</w:t>
      </w:r>
      <w:r w:rsidR="00F91116">
        <w:rPr>
          <w:color w:val="000000"/>
        </w:rPr>
        <w:t>’</w:t>
      </w:r>
      <w:r w:rsidRPr="00DC7BE7">
        <w:rPr>
          <w:color w:val="000000"/>
        </w:rPr>
        <w:t>s representative.</w:t>
      </w:r>
      <w:r w:rsidR="00C37737">
        <w:rPr>
          <w:color w:val="000000"/>
        </w:rPr>
        <w:t xml:space="preserve">  </w:t>
      </w:r>
      <w:r w:rsidRPr="00DC7BE7">
        <w:rPr>
          <w:color w:val="000000"/>
        </w:rPr>
        <w:t>The subject signs the short form.</w:t>
      </w:r>
      <w:r w:rsidR="00C37737">
        <w:rPr>
          <w:color w:val="000000"/>
        </w:rPr>
        <w:t xml:space="preserve">  </w:t>
      </w:r>
      <w:r w:rsidRPr="00DC7BE7">
        <w:rPr>
          <w:color w:val="000000"/>
        </w:rPr>
        <w:t>The witness signs both forms.</w:t>
      </w:r>
      <w:r w:rsidR="00C37737">
        <w:rPr>
          <w:color w:val="000000"/>
        </w:rPr>
        <w:t xml:space="preserve">  </w:t>
      </w:r>
      <w:r w:rsidRPr="00DC7BE7">
        <w:rPr>
          <w:color w:val="000000"/>
        </w:rPr>
        <w:t>The person actually obtaining consent signs the summary.</w:t>
      </w:r>
      <w:r w:rsidR="00C37737">
        <w:rPr>
          <w:color w:val="000000"/>
        </w:rPr>
        <w:t xml:space="preserve">  </w:t>
      </w:r>
      <w:r w:rsidRPr="00DC7BE7">
        <w:rPr>
          <w:color w:val="000000"/>
        </w:rPr>
        <w:t>Copies of the short form and the summary are given to the subject.</w:t>
      </w:r>
    </w:p>
    <w:p w:rsidR="006A45BD" w:rsidRPr="00DC7BE7" w:rsidRDefault="006A45BD" w:rsidP="006A45BD">
      <w:pPr>
        <w:autoSpaceDE w:val="0"/>
        <w:autoSpaceDN w:val="0"/>
        <w:adjustRightInd w:val="0"/>
        <w:ind w:left="720"/>
        <w:rPr>
          <w:color w:val="000000"/>
        </w:rPr>
      </w:pPr>
    </w:p>
    <w:p w:rsidR="006A45BD" w:rsidRPr="00DC7BE7" w:rsidRDefault="006A45BD" w:rsidP="006A45BD">
      <w:pPr>
        <w:autoSpaceDE w:val="0"/>
        <w:autoSpaceDN w:val="0"/>
        <w:adjustRightInd w:val="0"/>
        <w:ind w:left="720"/>
        <w:rPr>
          <w:color w:val="000000"/>
        </w:rPr>
      </w:pPr>
      <w:r w:rsidRPr="00DC7BE7">
        <w:rPr>
          <w:b/>
          <w:color w:val="000000"/>
        </w:rPr>
        <w:lastRenderedPageBreak/>
        <w:t>Note</w:t>
      </w:r>
      <w:r w:rsidRPr="00DC7BE7">
        <w:rPr>
          <w:color w:val="000000"/>
        </w:rPr>
        <w:t xml:space="preserve">: English-speaking subjects who have low literacy (nonreaders) can </w:t>
      </w:r>
      <w:r w:rsidR="0006342E">
        <w:rPr>
          <w:color w:val="000000"/>
        </w:rPr>
        <w:t>“</w:t>
      </w:r>
      <w:r w:rsidRPr="00DC7BE7">
        <w:rPr>
          <w:color w:val="000000"/>
        </w:rPr>
        <w:t>make their mark</w:t>
      </w:r>
      <w:r w:rsidR="0006342E">
        <w:rPr>
          <w:color w:val="000000"/>
        </w:rPr>
        <w:t xml:space="preserve">” </w:t>
      </w:r>
      <w:r w:rsidRPr="00DC7BE7">
        <w:rPr>
          <w:color w:val="000000"/>
        </w:rPr>
        <w:t xml:space="preserve">on the informed consent document, as long as it is consistent with applicable state or local laws. </w:t>
      </w:r>
    </w:p>
    <w:p w:rsidR="006A45BD" w:rsidRDefault="006A45BD" w:rsidP="006A45BD">
      <w:pPr>
        <w:autoSpaceDE w:val="0"/>
        <w:autoSpaceDN w:val="0"/>
        <w:adjustRightInd w:val="0"/>
        <w:rPr>
          <w:color w:val="000000"/>
        </w:rPr>
      </w:pPr>
    </w:p>
    <w:p w:rsidR="006A45BD" w:rsidRDefault="006A45BD" w:rsidP="006A45BD">
      <w:pPr>
        <w:autoSpaceDE w:val="0"/>
        <w:autoSpaceDN w:val="0"/>
        <w:adjustRightInd w:val="0"/>
        <w:rPr>
          <w:color w:val="000000"/>
        </w:rPr>
      </w:pPr>
      <w:r>
        <w:rPr>
          <w:color w:val="000000"/>
        </w:rPr>
        <w:t>Waivers of documentation are not waivers of the consent process itself.</w:t>
      </w:r>
      <w:r w:rsidR="000139C2">
        <w:rPr>
          <w:color w:val="000000"/>
        </w:rPr>
        <w:t xml:space="preserve">  </w:t>
      </w:r>
      <w:r>
        <w:rPr>
          <w:color w:val="000000"/>
        </w:rPr>
        <w:t>The IRB may waive documentation of informed consent per 46.117(c)(1) under three circumstances:</w:t>
      </w:r>
    </w:p>
    <w:p w:rsidR="006A45BD" w:rsidRPr="00E47014" w:rsidRDefault="006A45BD" w:rsidP="006A45BD">
      <w:pPr>
        <w:autoSpaceDE w:val="0"/>
        <w:autoSpaceDN w:val="0"/>
        <w:adjustRightInd w:val="0"/>
        <w:rPr>
          <w:color w:val="000000"/>
        </w:rPr>
      </w:pPr>
    </w:p>
    <w:p w:rsidR="006A45BD" w:rsidRDefault="006A45BD" w:rsidP="006A45BD">
      <w:pPr>
        <w:numPr>
          <w:ilvl w:val="0"/>
          <w:numId w:val="24"/>
        </w:numPr>
        <w:autoSpaceDE w:val="0"/>
        <w:autoSpaceDN w:val="0"/>
        <w:adjustRightInd w:val="0"/>
        <w:rPr>
          <w:color w:val="000000"/>
        </w:rPr>
      </w:pPr>
      <w:r w:rsidRPr="00E47014">
        <w:rPr>
          <w:color w:val="000000"/>
        </w:rPr>
        <w:t>The principal risks are those associated with a breach of confidentiality concerning the subject</w:t>
      </w:r>
      <w:r w:rsidR="000139C2">
        <w:rPr>
          <w:color w:val="000000"/>
        </w:rPr>
        <w:t>’</w:t>
      </w:r>
      <w:r w:rsidRPr="00E47014">
        <w:rPr>
          <w:color w:val="000000"/>
        </w:rPr>
        <w:t xml:space="preserve">s participation in the research, and the consent document is the only record linking the subject with the research. </w:t>
      </w:r>
      <w:r w:rsidR="000139C2">
        <w:rPr>
          <w:color w:val="000000"/>
        </w:rPr>
        <w:t xml:space="preserve"> </w:t>
      </w:r>
      <w:r w:rsidRPr="00E47014">
        <w:rPr>
          <w:color w:val="000000"/>
        </w:rPr>
        <w:t>When the requirement for documentation is waived, the IRB may require the researcher to offer the subjects information about the study in writing.</w:t>
      </w:r>
    </w:p>
    <w:p w:rsidR="006A45BD" w:rsidRDefault="006A45BD" w:rsidP="006A45BD">
      <w:pPr>
        <w:autoSpaceDE w:val="0"/>
        <w:autoSpaceDN w:val="0"/>
        <w:adjustRightInd w:val="0"/>
        <w:ind w:left="720"/>
        <w:rPr>
          <w:color w:val="000000"/>
        </w:rPr>
      </w:pPr>
    </w:p>
    <w:p w:rsidR="006A45BD" w:rsidRDefault="006A45BD" w:rsidP="006A45BD">
      <w:pPr>
        <w:numPr>
          <w:ilvl w:val="0"/>
          <w:numId w:val="24"/>
        </w:numPr>
        <w:autoSpaceDE w:val="0"/>
        <w:autoSpaceDN w:val="0"/>
        <w:adjustRightInd w:val="0"/>
        <w:rPr>
          <w:color w:val="000000"/>
        </w:rPr>
      </w:pPr>
      <w:r w:rsidRPr="00E47014">
        <w:rPr>
          <w:color w:val="000000"/>
        </w:rPr>
        <w:t>Study participation presents minimal risk of harm to the subject and the research involves no procedures requiring consent outside the context of participation in a research study.</w:t>
      </w:r>
    </w:p>
    <w:p w:rsidR="006A45BD" w:rsidRDefault="006A45BD" w:rsidP="006A45BD">
      <w:pPr>
        <w:pStyle w:val="ListParagraph"/>
        <w:rPr>
          <w:color w:val="000000"/>
        </w:rPr>
      </w:pPr>
    </w:p>
    <w:p w:rsidR="006A45BD" w:rsidRPr="00985834" w:rsidRDefault="006A45BD" w:rsidP="006A45BD">
      <w:pPr>
        <w:numPr>
          <w:ilvl w:val="0"/>
          <w:numId w:val="24"/>
        </w:numPr>
        <w:autoSpaceDE w:val="0"/>
        <w:autoSpaceDN w:val="0"/>
        <w:adjustRightInd w:val="0"/>
        <w:spacing w:before="60" w:after="60"/>
        <w:rPr>
          <w:b/>
          <w:u w:val="single"/>
        </w:rPr>
      </w:pPr>
      <w:r w:rsidRPr="00985834">
        <w:rPr>
          <w:color w:val="000000"/>
        </w:rPr>
        <w:t>Subjects or legally authorized representatives are members of a distinct cultural group or community in which signing forms is not the norm, the research presents no more than minimal risk of harm to subjects, and provided there is an appropriate alternative mechanism for documenting that informed consent was obtained.</w:t>
      </w:r>
    </w:p>
    <w:p w:rsidR="00031192" w:rsidRDefault="00031192" w:rsidP="000220B6">
      <w:pPr>
        <w:autoSpaceDE w:val="0"/>
        <w:autoSpaceDN w:val="0"/>
        <w:adjustRightInd w:val="0"/>
        <w:rPr>
          <w:color w:val="000000"/>
        </w:rPr>
      </w:pPr>
    </w:p>
    <w:p w:rsidR="005C5DDA" w:rsidRDefault="005C5DDA" w:rsidP="00031192">
      <w:pPr>
        <w:autoSpaceDE w:val="0"/>
        <w:autoSpaceDN w:val="0"/>
        <w:adjustRightInd w:val="0"/>
        <w:rPr>
          <w:b/>
          <w:color w:val="000000"/>
          <w:u w:val="single"/>
        </w:rPr>
      </w:pPr>
      <w:r>
        <w:rPr>
          <w:b/>
          <w:color w:val="000000"/>
          <w:u w:val="single"/>
        </w:rPr>
        <w:t>Non-Research Involving Human Subjects that DOES NOT Require IRB Exemption or Approval</w:t>
      </w:r>
    </w:p>
    <w:p w:rsidR="00031192" w:rsidRDefault="00031192" w:rsidP="00031192">
      <w:pPr>
        <w:autoSpaceDE w:val="0"/>
        <w:autoSpaceDN w:val="0"/>
        <w:adjustRightInd w:val="0"/>
        <w:rPr>
          <w:color w:val="000000"/>
        </w:rPr>
      </w:pPr>
      <w:r w:rsidRPr="000220B6">
        <w:rPr>
          <w:color w:val="000000"/>
        </w:rPr>
        <w:t xml:space="preserve">The following </w:t>
      </w:r>
      <w:r w:rsidR="005C5DDA">
        <w:rPr>
          <w:color w:val="000000"/>
        </w:rPr>
        <w:t xml:space="preserve">projects </w:t>
      </w:r>
      <w:r w:rsidRPr="000220B6">
        <w:rPr>
          <w:bCs/>
          <w:color w:val="000000"/>
        </w:rPr>
        <w:t>fall outside the scope of research</w:t>
      </w:r>
      <w:r w:rsidRPr="000220B6">
        <w:rPr>
          <w:b/>
          <w:bCs/>
          <w:color w:val="000000"/>
        </w:rPr>
        <w:t xml:space="preserve"> </w:t>
      </w:r>
      <w:r w:rsidRPr="000220B6">
        <w:rPr>
          <w:color w:val="000000"/>
        </w:rPr>
        <w:t xml:space="preserve">and </w:t>
      </w:r>
      <w:r w:rsidRPr="000220B6">
        <w:rPr>
          <w:color w:val="000000"/>
          <w:u w:val="single"/>
        </w:rPr>
        <w:t xml:space="preserve">do </w:t>
      </w:r>
      <w:r w:rsidRPr="000220B6">
        <w:rPr>
          <w:bCs/>
          <w:color w:val="000000"/>
          <w:u w:val="single"/>
        </w:rPr>
        <w:t>not</w:t>
      </w:r>
      <w:r w:rsidRPr="000220B6">
        <w:rPr>
          <w:b/>
          <w:bCs/>
          <w:color w:val="000000"/>
        </w:rPr>
        <w:t xml:space="preserve"> </w:t>
      </w:r>
      <w:r w:rsidRPr="000220B6">
        <w:rPr>
          <w:color w:val="000000"/>
        </w:rPr>
        <w:t xml:space="preserve">require IRB exemption or approval: </w:t>
      </w:r>
    </w:p>
    <w:p w:rsidR="005C5DDA" w:rsidRPr="000220B6" w:rsidRDefault="005C5DDA" w:rsidP="00031192">
      <w:pPr>
        <w:autoSpaceDE w:val="0"/>
        <w:autoSpaceDN w:val="0"/>
        <w:adjustRightInd w:val="0"/>
        <w:rPr>
          <w:color w:val="000000"/>
        </w:rPr>
      </w:pPr>
    </w:p>
    <w:p w:rsidR="00031192" w:rsidRPr="00B44CD1" w:rsidRDefault="00031192" w:rsidP="005C5DDA">
      <w:pPr>
        <w:pStyle w:val="ListParagraph"/>
        <w:numPr>
          <w:ilvl w:val="0"/>
          <w:numId w:val="28"/>
        </w:numPr>
        <w:autoSpaceDE w:val="0"/>
        <w:autoSpaceDN w:val="0"/>
        <w:adjustRightInd w:val="0"/>
        <w:rPr>
          <w:color w:val="000000"/>
        </w:rPr>
      </w:pPr>
      <w:r w:rsidRPr="00B44CD1">
        <w:rPr>
          <w:color w:val="000000"/>
        </w:rPr>
        <w:t xml:space="preserve">AWC student ratings of instruction; </w:t>
      </w:r>
    </w:p>
    <w:p w:rsidR="00031192" w:rsidRDefault="00031192" w:rsidP="005C5DDA">
      <w:pPr>
        <w:pStyle w:val="ListParagraph"/>
        <w:numPr>
          <w:ilvl w:val="0"/>
          <w:numId w:val="28"/>
        </w:numPr>
        <w:autoSpaceDE w:val="0"/>
        <w:autoSpaceDN w:val="0"/>
        <w:adjustRightInd w:val="0"/>
        <w:rPr>
          <w:color w:val="000000"/>
        </w:rPr>
      </w:pPr>
      <w:r w:rsidRPr="00B44CD1">
        <w:rPr>
          <w:color w:val="000000"/>
        </w:rPr>
        <w:t>Institutional or program evaluation</w:t>
      </w:r>
      <w:r w:rsidR="005C5DDA">
        <w:rPr>
          <w:color w:val="000000"/>
        </w:rPr>
        <w:t>s</w:t>
      </w:r>
      <w:r w:rsidRPr="00B44CD1">
        <w:rPr>
          <w:color w:val="000000"/>
        </w:rPr>
        <w:t xml:space="preserve"> or assessment</w:t>
      </w:r>
      <w:r w:rsidR="005C5DDA">
        <w:rPr>
          <w:color w:val="000000"/>
        </w:rPr>
        <w:t>s</w:t>
      </w:r>
      <w:r w:rsidRPr="00B44CD1">
        <w:rPr>
          <w:color w:val="000000"/>
        </w:rPr>
        <w:t xml:space="preserve"> directly tied to the employee’s primary work or departmental duties (e.g., financial aid regularly examines student records; Institutional Research accesses student success data for learning outcomes assessment purposes; etc.); </w:t>
      </w:r>
    </w:p>
    <w:p w:rsidR="005C5DDA" w:rsidRDefault="00031192" w:rsidP="005C5DDA">
      <w:pPr>
        <w:pStyle w:val="ListParagraph"/>
        <w:numPr>
          <w:ilvl w:val="0"/>
          <w:numId w:val="28"/>
        </w:numPr>
        <w:autoSpaceDE w:val="0"/>
        <w:autoSpaceDN w:val="0"/>
        <w:adjustRightInd w:val="0"/>
        <w:rPr>
          <w:color w:val="000000"/>
        </w:rPr>
      </w:pPr>
      <w:r w:rsidRPr="005C5DDA">
        <w:rPr>
          <w:color w:val="000000"/>
        </w:rPr>
        <w:t xml:space="preserve">AWC employee performance evaluations; </w:t>
      </w:r>
    </w:p>
    <w:p w:rsidR="005C5DDA" w:rsidRDefault="00031192" w:rsidP="005C5DDA">
      <w:pPr>
        <w:pStyle w:val="ListParagraph"/>
        <w:numPr>
          <w:ilvl w:val="0"/>
          <w:numId w:val="28"/>
        </w:numPr>
        <w:autoSpaceDE w:val="0"/>
        <w:autoSpaceDN w:val="0"/>
        <w:adjustRightInd w:val="0"/>
        <w:rPr>
          <w:color w:val="000000"/>
        </w:rPr>
      </w:pPr>
      <w:r w:rsidRPr="005C5DDA">
        <w:rPr>
          <w:color w:val="000000"/>
        </w:rPr>
        <w:t xml:space="preserve">Studies conducted by students under the advisement of faculty for classroom instructional purposes only, when information gained is </w:t>
      </w:r>
      <w:r w:rsidR="00D975C3">
        <w:rPr>
          <w:color w:val="000000"/>
        </w:rPr>
        <w:t>for sharing</w:t>
      </w:r>
      <w:r w:rsidR="005C5DDA">
        <w:rPr>
          <w:color w:val="000000"/>
        </w:rPr>
        <w:t xml:space="preserve"> in the classroom setting only;</w:t>
      </w:r>
    </w:p>
    <w:p w:rsidR="005C5DDA" w:rsidRDefault="00031192" w:rsidP="005C5DDA">
      <w:pPr>
        <w:pStyle w:val="ListParagraph"/>
        <w:numPr>
          <w:ilvl w:val="0"/>
          <w:numId w:val="28"/>
        </w:numPr>
        <w:autoSpaceDE w:val="0"/>
        <w:autoSpaceDN w:val="0"/>
        <w:adjustRightInd w:val="0"/>
        <w:rPr>
          <w:color w:val="000000"/>
        </w:rPr>
      </w:pPr>
      <w:r w:rsidRPr="005C5DDA">
        <w:rPr>
          <w:color w:val="000000"/>
        </w:rPr>
        <w:t xml:space="preserve">AWC mandated evaluations (program reviews, academic audits, etc.); </w:t>
      </w:r>
    </w:p>
    <w:p w:rsidR="005C5DDA" w:rsidRDefault="00031192" w:rsidP="005C5DDA">
      <w:pPr>
        <w:pStyle w:val="ListParagraph"/>
        <w:numPr>
          <w:ilvl w:val="0"/>
          <w:numId w:val="28"/>
        </w:numPr>
        <w:autoSpaceDE w:val="0"/>
        <w:autoSpaceDN w:val="0"/>
        <w:adjustRightInd w:val="0"/>
        <w:rPr>
          <w:color w:val="000000"/>
        </w:rPr>
      </w:pPr>
      <w:r w:rsidRPr="005C5DDA">
        <w:rPr>
          <w:color w:val="000000"/>
        </w:rPr>
        <w:t>Accreditation mandated assessment</w:t>
      </w:r>
      <w:r w:rsidR="005C5DDA">
        <w:rPr>
          <w:color w:val="000000"/>
        </w:rPr>
        <w:t>s and/o</w:t>
      </w:r>
      <w:r w:rsidRPr="005C5DDA">
        <w:rPr>
          <w:color w:val="000000"/>
        </w:rPr>
        <w:t>r evaluation</w:t>
      </w:r>
      <w:r w:rsidR="005C5DDA">
        <w:rPr>
          <w:color w:val="000000"/>
        </w:rPr>
        <w:t>s</w:t>
      </w:r>
      <w:r w:rsidRPr="005C5DDA">
        <w:rPr>
          <w:color w:val="000000"/>
        </w:rPr>
        <w:t xml:space="preserve">; </w:t>
      </w:r>
    </w:p>
    <w:p w:rsidR="00031192" w:rsidRPr="005C5DDA" w:rsidRDefault="00031192" w:rsidP="005C5DDA">
      <w:pPr>
        <w:pStyle w:val="ListParagraph"/>
        <w:numPr>
          <w:ilvl w:val="0"/>
          <w:numId w:val="28"/>
        </w:numPr>
        <w:autoSpaceDE w:val="0"/>
        <w:autoSpaceDN w:val="0"/>
        <w:adjustRightInd w:val="0"/>
        <w:rPr>
          <w:color w:val="000000"/>
        </w:rPr>
      </w:pPr>
      <w:r w:rsidRPr="005C5DDA">
        <w:rPr>
          <w:color w:val="000000"/>
        </w:rPr>
        <w:t xml:space="preserve">Required AWC grant evaluation activities approved by the grant Program Director, external/internal evaluator, or Office of Institutional Effectiveness and Research. </w:t>
      </w:r>
    </w:p>
    <w:p w:rsidR="00031192" w:rsidRDefault="00031192" w:rsidP="000220B6">
      <w:pPr>
        <w:autoSpaceDE w:val="0"/>
        <w:autoSpaceDN w:val="0"/>
        <w:adjustRightInd w:val="0"/>
        <w:rPr>
          <w:b/>
          <w:color w:val="000000"/>
        </w:rPr>
      </w:pPr>
    </w:p>
    <w:p w:rsidR="005C5DDA" w:rsidRPr="00DE17AD" w:rsidRDefault="005C5DDA" w:rsidP="005C5DDA">
      <w:pPr>
        <w:pStyle w:val="NormalWeb"/>
        <w:spacing w:before="60" w:beforeAutospacing="0" w:after="60" w:afterAutospacing="0"/>
        <w:rPr>
          <w:b/>
          <w:u w:val="single"/>
        </w:rPr>
      </w:pPr>
      <w:r w:rsidRPr="00DE17AD">
        <w:rPr>
          <w:b/>
          <w:u w:val="single"/>
        </w:rPr>
        <w:lastRenderedPageBreak/>
        <w:t>Research Involving Human Subjects That DOES NOT Require IRB Approval</w:t>
      </w:r>
    </w:p>
    <w:p w:rsidR="005C5DDA" w:rsidRDefault="005C5DDA" w:rsidP="005C5DDA">
      <w:pPr>
        <w:pStyle w:val="NormalWeb"/>
        <w:spacing w:before="0" w:beforeAutospacing="0" w:after="0" w:afterAutospacing="0"/>
      </w:pPr>
      <w:r>
        <w:t>Some projects will involve human subjects as participants but do not require IRB approval.</w:t>
      </w:r>
      <w:r w:rsidR="00935B65">
        <w:t xml:space="preserve">  </w:t>
      </w:r>
      <w:r>
        <w:t>For example:</w:t>
      </w:r>
    </w:p>
    <w:p w:rsidR="005C5DDA" w:rsidRDefault="005C5DDA" w:rsidP="005C5DDA">
      <w:pPr>
        <w:pStyle w:val="NormalWeb"/>
        <w:spacing w:before="0" w:beforeAutospacing="0" w:after="0" w:afterAutospacing="0"/>
      </w:pPr>
      <w:r>
        <w:t xml:space="preserve"> </w:t>
      </w:r>
    </w:p>
    <w:p w:rsidR="005C5DDA" w:rsidRDefault="005C5DDA" w:rsidP="00CD7162">
      <w:pPr>
        <w:pStyle w:val="NormalWeb"/>
        <w:numPr>
          <w:ilvl w:val="0"/>
          <w:numId w:val="13"/>
        </w:numPr>
        <w:spacing w:before="0" w:beforeAutospacing="0" w:after="0" w:afterAutospacing="0"/>
      </w:pPr>
      <w:r>
        <w:t>Journalism/Documentary/Artistic Activities:</w:t>
      </w:r>
      <w:r w:rsidRPr="0082215F">
        <w:t xml:space="preserve"> </w:t>
      </w:r>
      <w:r>
        <w:t>Investigations and interviews that focus on specific events, views, etc., and that lead to publication in any medium (including electronic), documentary production, or are part of training that is explicitly linked to journalism; writing a stage or screen play, poetry, musical, photo display, etc. based on the collected data.</w:t>
      </w:r>
    </w:p>
    <w:p w:rsidR="005C5DDA" w:rsidRDefault="005C5DDA" w:rsidP="00BC5797">
      <w:pPr>
        <w:pStyle w:val="NormalWeb"/>
        <w:numPr>
          <w:ilvl w:val="0"/>
          <w:numId w:val="13"/>
        </w:numPr>
        <w:spacing w:before="0" w:beforeAutospacing="0" w:after="0" w:afterAutospacing="0"/>
        <w:rPr>
          <w:rStyle w:val="Strong"/>
        </w:rPr>
      </w:pPr>
      <w:r w:rsidRPr="00B60047">
        <w:rPr>
          <w:rStyle w:val="Strong"/>
          <w:b w:val="0"/>
        </w:rPr>
        <w:t>Oral History or Case Stud</w:t>
      </w:r>
      <w:r w:rsidR="00863A9A">
        <w:rPr>
          <w:rStyle w:val="Strong"/>
          <w:b w:val="0"/>
        </w:rPr>
        <w:t xml:space="preserve">y: </w:t>
      </w:r>
      <w:r w:rsidRPr="0082215F">
        <w:t>The project is limited to oral history activi</w:t>
      </w:r>
      <w:r>
        <w:t>ties or investigations into an</w:t>
      </w:r>
      <w:r w:rsidRPr="0082215F">
        <w:t xml:space="preserve"> event. </w:t>
      </w:r>
      <w:r w:rsidR="00D66EED">
        <w:t xml:space="preserve"> </w:t>
      </w:r>
      <w:r w:rsidRPr="0082215F">
        <w:t>Data collect</w:t>
      </w:r>
      <w:r>
        <w:t>ed</w:t>
      </w:r>
      <w:r w:rsidRPr="0082215F">
        <w:t xml:space="preserve"> can come from open</w:t>
      </w:r>
      <w:r>
        <w:t>-</w:t>
      </w:r>
      <w:r w:rsidRPr="0082215F">
        <w:t>ended or one</w:t>
      </w:r>
      <w:r>
        <w:t>-</w:t>
      </w:r>
      <w:r w:rsidRPr="0082215F">
        <w:t>on</w:t>
      </w:r>
      <w:r>
        <w:t>-</w:t>
      </w:r>
      <w:r w:rsidRPr="0082215F">
        <w:t xml:space="preserve">one interviews, but the interviews only document that specific historical event or the experiences of individuals related to an event, without the intent to draw conclusions or generalize findings. </w:t>
      </w:r>
      <w:r w:rsidR="00D66EED">
        <w:t xml:space="preserve"> </w:t>
      </w:r>
      <w:r w:rsidRPr="0082215F">
        <w:t xml:space="preserve">These interviews can be with more than one person. </w:t>
      </w:r>
    </w:p>
    <w:p w:rsidR="00B60047" w:rsidRDefault="005C5DDA" w:rsidP="005018BD">
      <w:pPr>
        <w:pStyle w:val="NormalWeb"/>
        <w:numPr>
          <w:ilvl w:val="0"/>
          <w:numId w:val="13"/>
        </w:numPr>
        <w:autoSpaceDE w:val="0"/>
        <w:autoSpaceDN w:val="0"/>
        <w:adjustRightInd w:val="0"/>
        <w:spacing w:before="0" w:beforeAutospacing="0" w:after="0" w:afterAutospacing="0"/>
      </w:pPr>
      <w:r w:rsidRPr="00A37076">
        <w:rPr>
          <w:rStyle w:val="Strong"/>
          <w:b w:val="0"/>
        </w:rPr>
        <w:t>Existing Da</w:t>
      </w:r>
      <w:r w:rsidR="00D66EED">
        <w:rPr>
          <w:rStyle w:val="Strong"/>
          <w:b w:val="0"/>
        </w:rPr>
        <w:t>ta: G</w:t>
      </w:r>
      <w:r>
        <w:t xml:space="preserve">athering or analyzing data that have already been collected by someone else (i.e., educational data, census data). </w:t>
      </w:r>
      <w:r w:rsidR="00D66EED">
        <w:t xml:space="preserve"> </w:t>
      </w:r>
      <w:r>
        <w:t xml:space="preserve">These data are </w:t>
      </w:r>
      <w:r w:rsidR="00D66EED">
        <w:t>publicly</w:t>
      </w:r>
      <w:r>
        <w:t xml:space="preserve"> available and have no identifiers included (e.g., names, addresses, emails, phone numbers, etc.; any information that could specifically identify a person).</w:t>
      </w:r>
    </w:p>
    <w:p w:rsidR="000220B6" w:rsidRDefault="000220B6" w:rsidP="00985834">
      <w:pPr>
        <w:autoSpaceDE w:val="0"/>
        <w:autoSpaceDN w:val="0"/>
        <w:adjustRightInd w:val="0"/>
        <w:rPr>
          <w:b/>
          <w:color w:val="000000"/>
        </w:rPr>
      </w:pPr>
    </w:p>
    <w:p w:rsidR="00D80857" w:rsidRDefault="00D80857" w:rsidP="004C691F"/>
    <w:p w:rsidR="00BE0489" w:rsidRDefault="002448B8" w:rsidP="004C691F">
      <w:r w:rsidRPr="00B55906">
        <w:t xml:space="preserve">Questions about </w:t>
      </w:r>
      <w:r w:rsidR="00667D34">
        <w:t xml:space="preserve">a </w:t>
      </w:r>
      <w:r w:rsidRPr="00B55906">
        <w:t xml:space="preserve">research activity can be directed to the </w:t>
      </w:r>
      <w:r w:rsidR="00667D34">
        <w:t xml:space="preserve">Office of </w:t>
      </w:r>
      <w:r w:rsidR="0002131E">
        <w:t>Institutional Effectiveness</w:t>
      </w:r>
      <w:r w:rsidR="00667D34">
        <w:t xml:space="preserve"> and Research at (928) 344-7620 or IER</w:t>
      </w:r>
      <w:r w:rsidR="00525B92">
        <w:t>G</w:t>
      </w:r>
      <w:r w:rsidR="00667D34">
        <w:t>@azwestern.edu</w:t>
      </w:r>
      <w:r w:rsidR="00D24167" w:rsidRPr="00B55906">
        <w:t>.</w:t>
      </w:r>
      <w:bookmarkStart w:id="0" w:name="_GoBack"/>
      <w:bookmarkEnd w:id="0"/>
    </w:p>
    <w:sectPr w:rsidR="00BE0489" w:rsidSect="007A70F7">
      <w:headerReference w:type="default" r:id="rId15"/>
      <w:footerReference w:type="default" r:id="rId16"/>
      <w:headerReference w:type="first" r:id="rId17"/>
      <w:footerReference w:type="first" r:id="rId18"/>
      <w:pgSz w:w="12240" w:h="15840" w:code="1"/>
      <w:pgMar w:top="1440" w:right="1440" w:bottom="144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2AC" w:rsidRDefault="006712AC">
      <w:r>
        <w:separator/>
      </w:r>
    </w:p>
  </w:endnote>
  <w:endnote w:type="continuationSeparator" w:id="0">
    <w:p w:rsidR="006712AC" w:rsidRDefault="0067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64" w:rsidRDefault="00A467D9" w:rsidP="00A467D9">
    <w:pPr>
      <w:pStyle w:val="Footer"/>
      <w:jc w:val="center"/>
      <w:rPr>
        <w:noProof/>
      </w:rPr>
    </w:pPr>
    <w:r>
      <w:t xml:space="preserve">Page </w:t>
    </w:r>
    <w:r>
      <w:fldChar w:fldCharType="begin"/>
    </w:r>
    <w:r>
      <w:instrText xml:space="preserve"> PAGE   \* MERGEFORMAT </w:instrText>
    </w:r>
    <w:r>
      <w:fldChar w:fldCharType="separate"/>
    </w:r>
    <w:r w:rsidR="00202209">
      <w:rPr>
        <w:noProof/>
      </w:rPr>
      <w:t>1</w:t>
    </w:r>
    <w:r>
      <w:rPr>
        <w:noProof/>
      </w:rPr>
      <w:fldChar w:fldCharType="end"/>
    </w:r>
  </w:p>
  <w:p w:rsidR="00A467D9" w:rsidRPr="00577393" w:rsidRDefault="00577393" w:rsidP="00A467D9">
    <w:pPr>
      <w:pStyle w:val="Footer"/>
      <w:jc w:val="center"/>
      <w:rPr>
        <w:i/>
        <w:noProof/>
      </w:rPr>
    </w:pPr>
    <w:r>
      <w:rPr>
        <w:noProof/>
      </w:rPr>
      <w:t xml:space="preserve">Exemption Categories – </w:t>
    </w:r>
    <w:r>
      <w:rPr>
        <w:i/>
        <w:noProof/>
      </w:rPr>
      <w:t>2018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DEF" w:rsidRDefault="00390DEF" w:rsidP="00390DEF">
    <w:pPr>
      <w:pStyle w:val="Footer"/>
      <w:jc w:val="center"/>
      <w:rPr>
        <w:noProof/>
      </w:rPr>
    </w:pPr>
    <w:r>
      <w:t xml:space="preserve">Page </w:t>
    </w:r>
    <w:r>
      <w:fldChar w:fldCharType="begin"/>
    </w:r>
    <w:r>
      <w:instrText xml:space="preserve"> PAGE   \* MERGEFORMAT </w:instrText>
    </w:r>
    <w:r>
      <w:fldChar w:fldCharType="separate"/>
    </w:r>
    <w:r w:rsidR="007A70F7">
      <w:rPr>
        <w:noProof/>
      </w:rPr>
      <w:t>1</w:t>
    </w:r>
    <w:r>
      <w:rPr>
        <w:noProof/>
      </w:rPr>
      <w:fldChar w:fldCharType="end"/>
    </w:r>
  </w:p>
  <w:p w:rsidR="00390DEF" w:rsidRDefault="00390DEF" w:rsidP="00390DEF">
    <w:pPr>
      <w:pStyle w:val="Footer"/>
      <w:jc w:val="center"/>
      <w:rPr>
        <w:noProof/>
      </w:rPr>
    </w:pPr>
    <w:r>
      <w:rPr>
        <w:noProof/>
      </w:rPr>
      <w:t>IRB Human Research Application</w:t>
    </w:r>
  </w:p>
  <w:p w:rsidR="00390DEF" w:rsidRDefault="00390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2AC" w:rsidRDefault="006712AC">
      <w:r>
        <w:separator/>
      </w:r>
    </w:p>
  </w:footnote>
  <w:footnote w:type="continuationSeparator" w:id="0">
    <w:p w:rsidR="006712AC" w:rsidRDefault="0067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1F0" w:rsidRDefault="00273797">
    <w:pPr>
      <w:pStyle w:val="Header"/>
      <w:rPr>
        <w:sz w:val="18"/>
        <w:szCs w:val="18"/>
      </w:rPr>
    </w:pPr>
    <w:r>
      <w:rPr>
        <w:noProof/>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-272415</wp:posOffset>
          </wp:positionV>
          <wp:extent cx="1323975" cy="733425"/>
          <wp:effectExtent l="0" t="0" r="0" b="0"/>
          <wp:wrapNone/>
          <wp:docPr id="4" name="Picture 4" descr="NEW AWC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AWC_logo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1F0" w:rsidRDefault="00DC01F0">
    <w:pPr>
      <w:pStyle w:val="Header"/>
      <w:rPr>
        <w:sz w:val="18"/>
        <w:szCs w:val="18"/>
      </w:rPr>
    </w:pPr>
  </w:p>
  <w:p w:rsidR="00DC01F0" w:rsidRDefault="00DC01F0">
    <w:pPr>
      <w:pStyle w:val="Header"/>
      <w:rPr>
        <w:sz w:val="18"/>
        <w:szCs w:val="18"/>
      </w:rPr>
    </w:pPr>
  </w:p>
  <w:p w:rsidR="00DC01F0" w:rsidRDefault="00DC01F0">
    <w:pPr>
      <w:pStyle w:val="Header"/>
      <w:rPr>
        <w:sz w:val="18"/>
        <w:szCs w:val="18"/>
      </w:rPr>
    </w:pPr>
  </w:p>
  <w:p w:rsidR="00DC01F0" w:rsidRDefault="00DC01F0" w:rsidP="00DC01F0">
    <w:pPr>
      <w:pStyle w:val="Header"/>
      <w:jc w:val="center"/>
      <w:rPr>
        <w:b/>
      </w:rPr>
    </w:pPr>
    <w:r>
      <w:rPr>
        <w:b/>
      </w:rPr>
      <w:t>Institutional Review Board</w:t>
    </w:r>
  </w:p>
  <w:p w:rsidR="00DC01F0" w:rsidRDefault="00DC01F0" w:rsidP="00DC01F0">
    <w:pPr>
      <w:pStyle w:val="Header"/>
      <w:jc w:val="center"/>
      <w:rPr>
        <w:b/>
        <w:sz w:val="20"/>
        <w:szCs w:val="20"/>
      </w:rPr>
    </w:pPr>
  </w:p>
  <w:p w:rsidR="00A467D9" w:rsidRDefault="003D6A12" w:rsidP="00DC01F0">
    <w:pPr>
      <w:pStyle w:val="Header"/>
      <w:jc w:val="center"/>
      <w:rPr>
        <w:b/>
        <w:smallCaps/>
        <w:sz w:val="32"/>
        <w:szCs w:val="32"/>
        <w:u w:val="single"/>
      </w:rPr>
    </w:pPr>
    <w:r>
      <w:rPr>
        <w:b/>
        <w:smallCaps/>
        <w:sz w:val="32"/>
        <w:szCs w:val="32"/>
        <w:u w:val="single"/>
      </w:rPr>
      <w:t>Exemption Categories</w:t>
    </w:r>
  </w:p>
  <w:p w:rsidR="003D6A12" w:rsidRPr="003D6A12" w:rsidRDefault="00577393" w:rsidP="00DC01F0">
    <w:pPr>
      <w:pStyle w:val="Header"/>
      <w:jc w:val="center"/>
      <w:rPr>
        <w:b/>
        <w:i/>
        <w:smallCaps/>
      </w:rPr>
    </w:pPr>
    <w:r>
      <w:rPr>
        <w:b/>
        <w:i/>
        <w:smallCaps/>
      </w:rPr>
      <w:t xml:space="preserve">2018 Requirements </w:t>
    </w:r>
    <w:r w:rsidR="003D6A12">
      <w:rPr>
        <w:b/>
        <w:i/>
        <w:smallCaps/>
      </w:rPr>
      <w:t>Under the Revised Common Rule</w:t>
    </w:r>
  </w:p>
  <w:p w:rsidR="00A467D9" w:rsidRDefault="00A467D9" w:rsidP="00DC01F0">
    <w:pPr>
      <w:pStyle w:val="Header"/>
      <w:jc w:val="center"/>
      <w:rPr>
        <w:b/>
        <w:sz w:val="20"/>
        <w:szCs w:val="20"/>
      </w:rPr>
    </w:pPr>
  </w:p>
  <w:p w:rsidR="00A467D9" w:rsidRPr="00A467D9" w:rsidRDefault="00A467D9" w:rsidP="00DC01F0">
    <w:pPr>
      <w:pStyle w:val="Header"/>
      <w:jc w:val="center"/>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9F8" w:rsidRDefault="00273797" w:rsidP="006519F8">
    <w:pPr>
      <w:pStyle w:val="Header"/>
      <w:widowControl w:val="0"/>
      <w:tabs>
        <w:tab w:val="clear" w:pos="4320"/>
        <w:tab w:val="clear" w:pos="8640"/>
        <w:tab w:val="right" w:pos="10260"/>
      </w:tabs>
      <w:rPr>
        <w:sz w:val="18"/>
        <w:szCs w:val="18"/>
      </w:rPr>
    </w:pPr>
    <w:r>
      <w:rPr>
        <w:b/>
        <w:i/>
        <w:noProof/>
        <w:sz w:val="18"/>
        <w:szCs w:val="18"/>
      </w:rPr>
      <w:drawing>
        <wp:anchor distT="0" distB="0" distL="114300" distR="114300" simplePos="0" relativeHeight="251657216" behindDoc="0" locked="0" layoutInCell="1" allowOverlap="1">
          <wp:simplePos x="0" y="0"/>
          <wp:positionH relativeFrom="column">
            <wp:posOffset>2305050</wp:posOffset>
          </wp:positionH>
          <wp:positionV relativeFrom="paragraph">
            <wp:posOffset>-274320</wp:posOffset>
          </wp:positionV>
          <wp:extent cx="1323975" cy="733425"/>
          <wp:effectExtent l="0" t="0" r="0" b="0"/>
          <wp:wrapNone/>
          <wp:docPr id="3" name="Picture 3" descr="NEW AWC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AWC_logo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9F8" w:rsidRDefault="006519F8" w:rsidP="006519F8">
    <w:pPr>
      <w:pStyle w:val="Header"/>
      <w:widowControl w:val="0"/>
      <w:tabs>
        <w:tab w:val="clear" w:pos="4320"/>
        <w:tab w:val="clear" w:pos="8640"/>
        <w:tab w:val="right" w:pos="10260"/>
      </w:tabs>
      <w:rPr>
        <w:sz w:val="18"/>
        <w:szCs w:val="18"/>
      </w:rPr>
    </w:pPr>
  </w:p>
  <w:p w:rsidR="006519F8" w:rsidRDefault="006519F8" w:rsidP="006519F8">
    <w:pPr>
      <w:pStyle w:val="Header"/>
      <w:widowControl w:val="0"/>
      <w:tabs>
        <w:tab w:val="clear" w:pos="4320"/>
        <w:tab w:val="clear" w:pos="8640"/>
        <w:tab w:val="right" w:pos="10260"/>
      </w:tabs>
      <w:rPr>
        <w:sz w:val="18"/>
        <w:szCs w:val="18"/>
      </w:rPr>
    </w:pPr>
  </w:p>
  <w:p w:rsidR="006519F8" w:rsidRDefault="006519F8" w:rsidP="006519F8">
    <w:pPr>
      <w:pStyle w:val="Header"/>
      <w:widowControl w:val="0"/>
      <w:tabs>
        <w:tab w:val="clear" w:pos="4320"/>
        <w:tab w:val="clear" w:pos="8640"/>
        <w:tab w:val="right" w:pos="10260"/>
      </w:tabs>
      <w:rPr>
        <w:sz w:val="18"/>
        <w:szCs w:val="18"/>
      </w:rPr>
    </w:pPr>
  </w:p>
  <w:p w:rsidR="006519F8" w:rsidRDefault="006519F8" w:rsidP="006519F8">
    <w:pPr>
      <w:pStyle w:val="Header"/>
      <w:widowControl w:val="0"/>
      <w:tabs>
        <w:tab w:val="clear" w:pos="4320"/>
        <w:tab w:val="clear" w:pos="8640"/>
        <w:tab w:val="right" w:pos="10260"/>
      </w:tabs>
      <w:jc w:val="center"/>
      <w:rPr>
        <w:b/>
      </w:rPr>
    </w:pPr>
    <w:r>
      <w:rPr>
        <w:b/>
      </w:rPr>
      <w:t>Institutional Review Board</w:t>
    </w:r>
  </w:p>
  <w:p w:rsidR="006519F8" w:rsidRDefault="006519F8" w:rsidP="006519F8">
    <w:pPr>
      <w:pStyle w:val="Header"/>
      <w:widowControl w:val="0"/>
      <w:tabs>
        <w:tab w:val="clear" w:pos="4320"/>
        <w:tab w:val="clear" w:pos="8640"/>
        <w:tab w:val="right" w:pos="10260"/>
      </w:tabs>
      <w:jc w:val="center"/>
      <w:rPr>
        <w:b/>
      </w:rPr>
    </w:pPr>
  </w:p>
  <w:p w:rsidR="006519F8" w:rsidRDefault="006519F8" w:rsidP="006519F8">
    <w:pPr>
      <w:pStyle w:val="Header"/>
      <w:widowControl w:val="0"/>
      <w:tabs>
        <w:tab w:val="clear" w:pos="4320"/>
        <w:tab w:val="clear" w:pos="8640"/>
        <w:tab w:val="right" w:pos="10260"/>
      </w:tabs>
      <w:jc w:val="center"/>
      <w:rPr>
        <w:b/>
        <w:caps/>
      </w:rPr>
    </w:pPr>
    <w:r>
      <w:rPr>
        <w:b/>
        <w:caps/>
      </w:rPr>
      <w:t>human research application</w:t>
    </w:r>
  </w:p>
  <w:p w:rsidR="006519F8" w:rsidRDefault="006519F8" w:rsidP="006519F8">
    <w:pPr>
      <w:pStyle w:val="Header"/>
      <w:widowControl w:val="0"/>
      <w:tabs>
        <w:tab w:val="clear" w:pos="4320"/>
        <w:tab w:val="clear" w:pos="8640"/>
        <w:tab w:val="right" w:pos="10260"/>
      </w:tabs>
      <w:jc w:val="center"/>
      <w:rPr>
        <w:sz w:val="18"/>
        <w:szCs w:val="18"/>
      </w:rPr>
    </w:pPr>
  </w:p>
  <w:p w:rsidR="006519F8" w:rsidRPr="00F7326B" w:rsidRDefault="006519F8" w:rsidP="006519F8">
    <w:pPr>
      <w:pStyle w:val="Header"/>
      <w:widowControl w:val="0"/>
      <w:tabs>
        <w:tab w:val="clear" w:pos="4320"/>
        <w:tab w:val="clear" w:pos="8640"/>
        <w:tab w:val="right" w:pos="10260"/>
      </w:tabs>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1EC"/>
    <w:multiLevelType w:val="hybridMultilevel"/>
    <w:tmpl w:val="6B9E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0E78"/>
    <w:multiLevelType w:val="hybridMultilevel"/>
    <w:tmpl w:val="F7BEE990"/>
    <w:lvl w:ilvl="0" w:tplc="F54AA76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234"/>
    <w:multiLevelType w:val="hybridMultilevel"/>
    <w:tmpl w:val="51CA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4842FB"/>
    <w:multiLevelType w:val="hybridMultilevel"/>
    <w:tmpl w:val="64CAF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5171E1"/>
    <w:multiLevelType w:val="hybridMultilevel"/>
    <w:tmpl w:val="4AE22098"/>
    <w:lvl w:ilvl="0" w:tplc="DC6A905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6C477C"/>
    <w:multiLevelType w:val="hybridMultilevel"/>
    <w:tmpl w:val="5BD4547A"/>
    <w:lvl w:ilvl="0" w:tplc="0409000F">
      <w:start w:val="1"/>
      <w:numFmt w:val="decimal"/>
      <w:lvlText w:val="%1."/>
      <w:lvlJc w:val="left"/>
      <w:pPr>
        <w:ind w:left="360" w:hanging="360"/>
      </w:pPr>
    </w:lvl>
    <w:lvl w:ilvl="1" w:tplc="86A8664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104E23"/>
    <w:multiLevelType w:val="hybridMultilevel"/>
    <w:tmpl w:val="1A9C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0775A3D"/>
    <w:multiLevelType w:val="hybridMultilevel"/>
    <w:tmpl w:val="20C4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2"/>
    <w:multiLevelType w:val="hybridMultilevel"/>
    <w:tmpl w:val="D824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10D1F"/>
    <w:multiLevelType w:val="multilevel"/>
    <w:tmpl w:val="0C7A24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82995"/>
    <w:multiLevelType w:val="hybridMultilevel"/>
    <w:tmpl w:val="C940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7244A"/>
    <w:multiLevelType w:val="hybridMultilevel"/>
    <w:tmpl w:val="D346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3B57DD"/>
    <w:multiLevelType w:val="hybridMultilevel"/>
    <w:tmpl w:val="F0A2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4B1E"/>
    <w:multiLevelType w:val="hybridMultilevel"/>
    <w:tmpl w:val="0BC0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03D0A"/>
    <w:multiLevelType w:val="hybridMultilevel"/>
    <w:tmpl w:val="BDF26B8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C9C5F30"/>
    <w:multiLevelType w:val="hybridMultilevel"/>
    <w:tmpl w:val="DE4EE37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3FDE646D"/>
    <w:multiLevelType w:val="multilevel"/>
    <w:tmpl w:val="D3C8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D73B8E"/>
    <w:multiLevelType w:val="hybridMultilevel"/>
    <w:tmpl w:val="03E013E2"/>
    <w:lvl w:ilvl="0" w:tplc="DC6A905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671FF"/>
    <w:multiLevelType w:val="hybridMultilevel"/>
    <w:tmpl w:val="3104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972D8"/>
    <w:multiLevelType w:val="hybridMultilevel"/>
    <w:tmpl w:val="FA8C96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FA27B2"/>
    <w:multiLevelType w:val="hybridMultilevel"/>
    <w:tmpl w:val="2F928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E26B48"/>
    <w:multiLevelType w:val="hybridMultilevel"/>
    <w:tmpl w:val="11762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A7601F"/>
    <w:multiLevelType w:val="hybridMultilevel"/>
    <w:tmpl w:val="9FB6795E"/>
    <w:lvl w:ilvl="0" w:tplc="DC6A905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B4B86"/>
    <w:multiLevelType w:val="hybridMultilevel"/>
    <w:tmpl w:val="463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70BC3"/>
    <w:multiLevelType w:val="hybridMultilevel"/>
    <w:tmpl w:val="C1EA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C4F01"/>
    <w:multiLevelType w:val="hybridMultilevel"/>
    <w:tmpl w:val="1F72B21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57936761"/>
    <w:multiLevelType w:val="hybridMultilevel"/>
    <w:tmpl w:val="637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60074"/>
    <w:multiLevelType w:val="hybridMultilevel"/>
    <w:tmpl w:val="0AACAA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4486C00"/>
    <w:multiLevelType w:val="hybridMultilevel"/>
    <w:tmpl w:val="3216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6134B"/>
    <w:multiLevelType w:val="hybridMultilevel"/>
    <w:tmpl w:val="CF7A1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A025E3"/>
    <w:multiLevelType w:val="hybridMultilevel"/>
    <w:tmpl w:val="F2BE1C74"/>
    <w:lvl w:ilvl="0" w:tplc="DC6A905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B14D43"/>
    <w:multiLevelType w:val="hybridMultilevel"/>
    <w:tmpl w:val="A8D8DD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EE92F8E"/>
    <w:multiLevelType w:val="hybridMultilevel"/>
    <w:tmpl w:val="343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05360"/>
    <w:multiLevelType w:val="multilevel"/>
    <w:tmpl w:val="BA7E09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D400F6"/>
    <w:multiLevelType w:val="hybridMultilevel"/>
    <w:tmpl w:val="1CD8D02A"/>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A4E59BB"/>
    <w:multiLevelType w:val="hybridMultilevel"/>
    <w:tmpl w:val="AB62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8"/>
  </w:num>
  <w:num w:numId="5">
    <w:abstractNumId w:val="30"/>
  </w:num>
  <w:num w:numId="6">
    <w:abstractNumId w:val="23"/>
  </w:num>
  <w:num w:numId="7">
    <w:abstractNumId w:val="3"/>
  </w:num>
  <w:num w:numId="8">
    <w:abstractNumId w:val="36"/>
  </w:num>
  <w:num w:numId="9">
    <w:abstractNumId w:val="21"/>
  </w:num>
  <w:num w:numId="10">
    <w:abstractNumId w:val="15"/>
  </w:num>
  <w:num w:numId="11">
    <w:abstractNumId w:val="0"/>
  </w:num>
  <w:num w:numId="12">
    <w:abstractNumId w:val="29"/>
  </w:num>
  <w:num w:numId="13">
    <w:abstractNumId w:val="35"/>
  </w:num>
  <w:num w:numId="14">
    <w:abstractNumId w:val="12"/>
  </w:num>
  <w:num w:numId="15">
    <w:abstractNumId w:val="16"/>
  </w:num>
  <w:num w:numId="16">
    <w:abstractNumId w:val="26"/>
  </w:num>
  <w:num w:numId="17">
    <w:abstractNumId w:val="11"/>
  </w:num>
  <w:num w:numId="18">
    <w:abstractNumId w:val="13"/>
  </w:num>
  <w:num w:numId="19">
    <w:abstractNumId w:val="38"/>
  </w:num>
  <w:num w:numId="20">
    <w:abstractNumId w:val="28"/>
  </w:num>
  <w:num w:numId="21">
    <w:abstractNumId w:val="18"/>
  </w:num>
  <w:num w:numId="22">
    <w:abstractNumId w:val="17"/>
  </w:num>
  <w:num w:numId="23">
    <w:abstractNumId w:val="37"/>
  </w:num>
  <w:num w:numId="24">
    <w:abstractNumId w:val="1"/>
  </w:num>
  <w:num w:numId="25">
    <w:abstractNumId w:val="32"/>
  </w:num>
  <w:num w:numId="26">
    <w:abstractNumId w:val="31"/>
  </w:num>
  <w:num w:numId="27">
    <w:abstractNumId w:val="34"/>
  </w:num>
  <w:num w:numId="28">
    <w:abstractNumId w:val="10"/>
  </w:num>
  <w:num w:numId="29">
    <w:abstractNumId w:val="27"/>
  </w:num>
  <w:num w:numId="30">
    <w:abstractNumId w:val="7"/>
  </w:num>
  <w:num w:numId="31">
    <w:abstractNumId w:val="9"/>
  </w:num>
  <w:num w:numId="32">
    <w:abstractNumId w:val="33"/>
  </w:num>
  <w:num w:numId="33">
    <w:abstractNumId w:val="25"/>
  </w:num>
  <w:num w:numId="34">
    <w:abstractNumId w:val="20"/>
  </w:num>
  <w:num w:numId="35">
    <w:abstractNumId w:val="4"/>
  </w:num>
  <w:num w:numId="36">
    <w:abstractNumId w:val="2"/>
  </w:num>
  <w:num w:numId="37">
    <w:abstractNumId w:val="22"/>
  </w:num>
  <w:num w:numId="38">
    <w:abstractNumId w:val="2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11"/>
    <w:rsid w:val="00002B6F"/>
    <w:rsid w:val="000139C2"/>
    <w:rsid w:val="0002131E"/>
    <w:rsid w:val="000220B6"/>
    <w:rsid w:val="00031192"/>
    <w:rsid w:val="00041605"/>
    <w:rsid w:val="00052A99"/>
    <w:rsid w:val="0005695B"/>
    <w:rsid w:val="0006342E"/>
    <w:rsid w:val="0006416B"/>
    <w:rsid w:val="00086ACE"/>
    <w:rsid w:val="000907FF"/>
    <w:rsid w:val="00090867"/>
    <w:rsid w:val="000A14E3"/>
    <w:rsid w:val="000A591B"/>
    <w:rsid w:val="000B784E"/>
    <w:rsid w:val="000D6622"/>
    <w:rsid w:val="000E2665"/>
    <w:rsid w:val="000E6D89"/>
    <w:rsid w:val="000F5CEF"/>
    <w:rsid w:val="000F7F1B"/>
    <w:rsid w:val="00103035"/>
    <w:rsid w:val="00103B04"/>
    <w:rsid w:val="00110E42"/>
    <w:rsid w:val="0011432A"/>
    <w:rsid w:val="001145D8"/>
    <w:rsid w:val="0012020B"/>
    <w:rsid w:val="0013362B"/>
    <w:rsid w:val="0014330B"/>
    <w:rsid w:val="00151B9A"/>
    <w:rsid w:val="00155C27"/>
    <w:rsid w:val="0016513B"/>
    <w:rsid w:val="001C4915"/>
    <w:rsid w:val="001D3783"/>
    <w:rsid w:val="001E47B7"/>
    <w:rsid w:val="001F0935"/>
    <w:rsid w:val="002020F2"/>
    <w:rsid w:val="00202209"/>
    <w:rsid w:val="00242BC7"/>
    <w:rsid w:val="002448B8"/>
    <w:rsid w:val="00246761"/>
    <w:rsid w:val="00254BC7"/>
    <w:rsid w:val="00273797"/>
    <w:rsid w:val="00274D91"/>
    <w:rsid w:val="00290882"/>
    <w:rsid w:val="002C003C"/>
    <w:rsid w:val="002C0ADD"/>
    <w:rsid w:val="002C1F4F"/>
    <w:rsid w:val="002D085D"/>
    <w:rsid w:val="002D3CEE"/>
    <w:rsid w:val="002E56D5"/>
    <w:rsid w:val="002E66A3"/>
    <w:rsid w:val="002F169A"/>
    <w:rsid w:val="002F3F51"/>
    <w:rsid w:val="002F42F4"/>
    <w:rsid w:val="00315916"/>
    <w:rsid w:val="003168C5"/>
    <w:rsid w:val="003250DD"/>
    <w:rsid w:val="00333DE8"/>
    <w:rsid w:val="00342787"/>
    <w:rsid w:val="00351B13"/>
    <w:rsid w:val="00356146"/>
    <w:rsid w:val="00390DEF"/>
    <w:rsid w:val="003914E9"/>
    <w:rsid w:val="003A59BB"/>
    <w:rsid w:val="003B09AF"/>
    <w:rsid w:val="003D6A12"/>
    <w:rsid w:val="003E217D"/>
    <w:rsid w:val="003E3F73"/>
    <w:rsid w:val="003F6D67"/>
    <w:rsid w:val="003F7760"/>
    <w:rsid w:val="00412525"/>
    <w:rsid w:val="00436E98"/>
    <w:rsid w:val="00442C88"/>
    <w:rsid w:val="00444493"/>
    <w:rsid w:val="00446886"/>
    <w:rsid w:val="00454E0A"/>
    <w:rsid w:val="004679D1"/>
    <w:rsid w:val="0047126B"/>
    <w:rsid w:val="00482907"/>
    <w:rsid w:val="004856EE"/>
    <w:rsid w:val="004B4D47"/>
    <w:rsid w:val="004C691F"/>
    <w:rsid w:val="004D7650"/>
    <w:rsid w:val="004D7E0B"/>
    <w:rsid w:val="004E1D00"/>
    <w:rsid w:val="004E7405"/>
    <w:rsid w:val="00500059"/>
    <w:rsid w:val="00501628"/>
    <w:rsid w:val="00504C4E"/>
    <w:rsid w:val="005123A4"/>
    <w:rsid w:val="00513BC3"/>
    <w:rsid w:val="0051535C"/>
    <w:rsid w:val="00525B92"/>
    <w:rsid w:val="0052667A"/>
    <w:rsid w:val="00526B38"/>
    <w:rsid w:val="005353E9"/>
    <w:rsid w:val="005430CA"/>
    <w:rsid w:val="00563A69"/>
    <w:rsid w:val="00571566"/>
    <w:rsid w:val="00571C73"/>
    <w:rsid w:val="00577393"/>
    <w:rsid w:val="00583823"/>
    <w:rsid w:val="00583A1E"/>
    <w:rsid w:val="00585728"/>
    <w:rsid w:val="00591F48"/>
    <w:rsid w:val="00595CDA"/>
    <w:rsid w:val="005B2631"/>
    <w:rsid w:val="005B428B"/>
    <w:rsid w:val="005B7744"/>
    <w:rsid w:val="005C5DDA"/>
    <w:rsid w:val="005C726E"/>
    <w:rsid w:val="005E592B"/>
    <w:rsid w:val="005F1D32"/>
    <w:rsid w:val="005F591E"/>
    <w:rsid w:val="00605DE5"/>
    <w:rsid w:val="00617B6B"/>
    <w:rsid w:val="00643945"/>
    <w:rsid w:val="006468D2"/>
    <w:rsid w:val="006519F8"/>
    <w:rsid w:val="00651BD5"/>
    <w:rsid w:val="00653AA4"/>
    <w:rsid w:val="0065627A"/>
    <w:rsid w:val="00656767"/>
    <w:rsid w:val="00667D34"/>
    <w:rsid w:val="0067007B"/>
    <w:rsid w:val="006712AC"/>
    <w:rsid w:val="006A45BD"/>
    <w:rsid w:val="006A6672"/>
    <w:rsid w:val="006C1957"/>
    <w:rsid w:val="006D3BA4"/>
    <w:rsid w:val="006D5767"/>
    <w:rsid w:val="006E7FFA"/>
    <w:rsid w:val="006F4336"/>
    <w:rsid w:val="006F6B00"/>
    <w:rsid w:val="00703DAB"/>
    <w:rsid w:val="00704EDC"/>
    <w:rsid w:val="007056F9"/>
    <w:rsid w:val="00716630"/>
    <w:rsid w:val="00726ECD"/>
    <w:rsid w:val="007333A8"/>
    <w:rsid w:val="00735735"/>
    <w:rsid w:val="007377D0"/>
    <w:rsid w:val="00745A36"/>
    <w:rsid w:val="007836AF"/>
    <w:rsid w:val="0078596A"/>
    <w:rsid w:val="00790D18"/>
    <w:rsid w:val="007A70F7"/>
    <w:rsid w:val="007B7BA4"/>
    <w:rsid w:val="007C355F"/>
    <w:rsid w:val="007C720D"/>
    <w:rsid w:val="007D23DB"/>
    <w:rsid w:val="007F1D8A"/>
    <w:rsid w:val="00803937"/>
    <w:rsid w:val="0082215F"/>
    <w:rsid w:val="00831212"/>
    <w:rsid w:val="00837C2D"/>
    <w:rsid w:val="0084783B"/>
    <w:rsid w:val="00862937"/>
    <w:rsid w:val="00863A9A"/>
    <w:rsid w:val="00865C48"/>
    <w:rsid w:val="0087453D"/>
    <w:rsid w:val="008900E7"/>
    <w:rsid w:val="0089065F"/>
    <w:rsid w:val="00893D93"/>
    <w:rsid w:val="0089407A"/>
    <w:rsid w:val="008A0CB0"/>
    <w:rsid w:val="008A45B2"/>
    <w:rsid w:val="008A4B5A"/>
    <w:rsid w:val="008A5FE1"/>
    <w:rsid w:val="008B0E49"/>
    <w:rsid w:val="008C4613"/>
    <w:rsid w:val="008C6264"/>
    <w:rsid w:val="008D33DF"/>
    <w:rsid w:val="008E348D"/>
    <w:rsid w:val="008E64EF"/>
    <w:rsid w:val="008F243E"/>
    <w:rsid w:val="00900535"/>
    <w:rsid w:val="00902652"/>
    <w:rsid w:val="00916749"/>
    <w:rsid w:val="0092241A"/>
    <w:rsid w:val="00935B65"/>
    <w:rsid w:val="0098034C"/>
    <w:rsid w:val="0098199A"/>
    <w:rsid w:val="00985834"/>
    <w:rsid w:val="009A2B11"/>
    <w:rsid w:val="009B4A09"/>
    <w:rsid w:val="009B537A"/>
    <w:rsid w:val="009B5BBE"/>
    <w:rsid w:val="009B7E4A"/>
    <w:rsid w:val="009D3979"/>
    <w:rsid w:val="009D3E0C"/>
    <w:rsid w:val="009E14EE"/>
    <w:rsid w:val="009E1BC5"/>
    <w:rsid w:val="009F1DB2"/>
    <w:rsid w:val="009F331E"/>
    <w:rsid w:val="009F62D4"/>
    <w:rsid w:val="00A356AF"/>
    <w:rsid w:val="00A36E66"/>
    <w:rsid w:val="00A37076"/>
    <w:rsid w:val="00A467D9"/>
    <w:rsid w:val="00A623B6"/>
    <w:rsid w:val="00A645FE"/>
    <w:rsid w:val="00A72107"/>
    <w:rsid w:val="00A73CF8"/>
    <w:rsid w:val="00A879B6"/>
    <w:rsid w:val="00A90506"/>
    <w:rsid w:val="00AA2401"/>
    <w:rsid w:val="00AB42A9"/>
    <w:rsid w:val="00AB5FEE"/>
    <w:rsid w:val="00AD29DD"/>
    <w:rsid w:val="00AD71C3"/>
    <w:rsid w:val="00AE0B01"/>
    <w:rsid w:val="00B01401"/>
    <w:rsid w:val="00B05471"/>
    <w:rsid w:val="00B12477"/>
    <w:rsid w:val="00B169B8"/>
    <w:rsid w:val="00B246D5"/>
    <w:rsid w:val="00B254D0"/>
    <w:rsid w:val="00B279B7"/>
    <w:rsid w:val="00B32C74"/>
    <w:rsid w:val="00B332D2"/>
    <w:rsid w:val="00B44CD1"/>
    <w:rsid w:val="00B55906"/>
    <w:rsid w:val="00B60047"/>
    <w:rsid w:val="00B6291E"/>
    <w:rsid w:val="00B76C14"/>
    <w:rsid w:val="00B807B5"/>
    <w:rsid w:val="00B84681"/>
    <w:rsid w:val="00B90293"/>
    <w:rsid w:val="00B90AEC"/>
    <w:rsid w:val="00B978FB"/>
    <w:rsid w:val="00BA0114"/>
    <w:rsid w:val="00BA7E92"/>
    <w:rsid w:val="00BD6727"/>
    <w:rsid w:val="00BE0489"/>
    <w:rsid w:val="00BE17A7"/>
    <w:rsid w:val="00BE386C"/>
    <w:rsid w:val="00BF79D0"/>
    <w:rsid w:val="00C001ED"/>
    <w:rsid w:val="00C01D26"/>
    <w:rsid w:val="00C114BC"/>
    <w:rsid w:val="00C14B7B"/>
    <w:rsid w:val="00C3260E"/>
    <w:rsid w:val="00C37737"/>
    <w:rsid w:val="00C43653"/>
    <w:rsid w:val="00C477F3"/>
    <w:rsid w:val="00C544A0"/>
    <w:rsid w:val="00C621F8"/>
    <w:rsid w:val="00C62403"/>
    <w:rsid w:val="00C62E5A"/>
    <w:rsid w:val="00C72FC1"/>
    <w:rsid w:val="00C83C85"/>
    <w:rsid w:val="00CA354D"/>
    <w:rsid w:val="00CB1433"/>
    <w:rsid w:val="00CB51E6"/>
    <w:rsid w:val="00CD0A5A"/>
    <w:rsid w:val="00CD2485"/>
    <w:rsid w:val="00CE093E"/>
    <w:rsid w:val="00CE15DC"/>
    <w:rsid w:val="00CE5013"/>
    <w:rsid w:val="00D12D9D"/>
    <w:rsid w:val="00D24167"/>
    <w:rsid w:val="00D34249"/>
    <w:rsid w:val="00D44B6B"/>
    <w:rsid w:val="00D61960"/>
    <w:rsid w:val="00D66EED"/>
    <w:rsid w:val="00D7768F"/>
    <w:rsid w:val="00D80857"/>
    <w:rsid w:val="00D9465B"/>
    <w:rsid w:val="00D975C3"/>
    <w:rsid w:val="00DA4AAE"/>
    <w:rsid w:val="00DB19FF"/>
    <w:rsid w:val="00DB5E6B"/>
    <w:rsid w:val="00DC01F0"/>
    <w:rsid w:val="00DC299F"/>
    <w:rsid w:val="00DC7BE7"/>
    <w:rsid w:val="00DD4EB3"/>
    <w:rsid w:val="00DE17AD"/>
    <w:rsid w:val="00DE2EB1"/>
    <w:rsid w:val="00DE76E6"/>
    <w:rsid w:val="00DF0CD6"/>
    <w:rsid w:val="00DF1207"/>
    <w:rsid w:val="00E04591"/>
    <w:rsid w:val="00E26AA6"/>
    <w:rsid w:val="00E36781"/>
    <w:rsid w:val="00E420D5"/>
    <w:rsid w:val="00E42980"/>
    <w:rsid w:val="00E46BA1"/>
    <w:rsid w:val="00E47014"/>
    <w:rsid w:val="00E52E68"/>
    <w:rsid w:val="00E570C8"/>
    <w:rsid w:val="00E665D1"/>
    <w:rsid w:val="00E70C01"/>
    <w:rsid w:val="00E800C6"/>
    <w:rsid w:val="00E82F36"/>
    <w:rsid w:val="00E9511D"/>
    <w:rsid w:val="00EA2AE3"/>
    <w:rsid w:val="00EA3028"/>
    <w:rsid w:val="00EA5486"/>
    <w:rsid w:val="00EA6C89"/>
    <w:rsid w:val="00EB5A55"/>
    <w:rsid w:val="00EB79ED"/>
    <w:rsid w:val="00EC3B4C"/>
    <w:rsid w:val="00ED539A"/>
    <w:rsid w:val="00EF03E2"/>
    <w:rsid w:val="00EF0821"/>
    <w:rsid w:val="00EF1246"/>
    <w:rsid w:val="00EF43D5"/>
    <w:rsid w:val="00EF764B"/>
    <w:rsid w:val="00F04CC6"/>
    <w:rsid w:val="00F06F1D"/>
    <w:rsid w:val="00F1437C"/>
    <w:rsid w:val="00F15585"/>
    <w:rsid w:val="00F16F90"/>
    <w:rsid w:val="00F25CA0"/>
    <w:rsid w:val="00F561A9"/>
    <w:rsid w:val="00F6149E"/>
    <w:rsid w:val="00F7073C"/>
    <w:rsid w:val="00F7326B"/>
    <w:rsid w:val="00F91116"/>
    <w:rsid w:val="00F97061"/>
    <w:rsid w:val="00F97E22"/>
    <w:rsid w:val="00FB0473"/>
    <w:rsid w:val="00FB243D"/>
    <w:rsid w:val="00FB43DB"/>
    <w:rsid w:val="00FC1F5C"/>
    <w:rsid w:val="00FC7659"/>
    <w:rsid w:val="00FD3268"/>
    <w:rsid w:val="00FE7474"/>
    <w:rsid w:val="00FE74FA"/>
    <w:rsid w:val="00FF00E2"/>
    <w:rsid w:val="00FF0FD7"/>
    <w:rsid w:val="00FF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7E01F"/>
  <w15:chartTrackingRefBased/>
  <w15:docId w15:val="{B537875C-E729-4332-B771-4549838D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1DB2"/>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link w:val="FooterChar"/>
    <w:uiPriority w:val="99"/>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character" w:styleId="Hyperlink">
    <w:name w:val="Hyperlink"/>
    <w:rsid w:val="00315916"/>
    <w:rPr>
      <w:color w:val="660000"/>
      <w:u w:val="single"/>
    </w:rPr>
  </w:style>
  <w:style w:type="paragraph" w:styleId="NormalWeb">
    <w:name w:val="Normal (Web)"/>
    <w:basedOn w:val="Normal"/>
    <w:uiPriority w:val="99"/>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 w:type="paragraph" w:styleId="ListParagraph">
    <w:name w:val="List Paragraph"/>
    <w:basedOn w:val="Normal"/>
    <w:uiPriority w:val="34"/>
    <w:qFormat/>
    <w:rsid w:val="00BF79D0"/>
    <w:pPr>
      <w:ind w:left="720"/>
    </w:pPr>
  </w:style>
  <w:style w:type="character" w:customStyle="1" w:styleId="FooterChar">
    <w:name w:val="Footer Char"/>
    <w:link w:val="Footer"/>
    <w:uiPriority w:val="99"/>
    <w:rsid w:val="00C62E5A"/>
    <w:rPr>
      <w:rFonts w:ascii="CG Times" w:hAnsi="CG Times"/>
      <w:snapToGrid w:val="0"/>
      <w:sz w:val="24"/>
    </w:rPr>
  </w:style>
  <w:style w:type="paragraph" w:customStyle="1" w:styleId="Default">
    <w:name w:val="Default"/>
    <w:rsid w:val="005123A4"/>
    <w:pPr>
      <w:autoSpaceDE w:val="0"/>
      <w:autoSpaceDN w:val="0"/>
      <w:adjustRightInd w:val="0"/>
    </w:pPr>
    <w:rPr>
      <w:rFonts w:ascii="Bookman Old Style" w:hAnsi="Bookman Old Style" w:cs="Bookman Old Style"/>
      <w:color w:val="000000"/>
      <w:sz w:val="24"/>
      <w:szCs w:val="24"/>
    </w:rPr>
  </w:style>
  <w:style w:type="character" w:customStyle="1" w:styleId="UnresolvedMention1">
    <w:name w:val="Unresolved Mention1"/>
    <w:uiPriority w:val="99"/>
    <w:semiHidden/>
    <w:unhideWhenUsed/>
    <w:rsid w:val="00A73CF8"/>
    <w:rPr>
      <w:color w:val="605E5C"/>
      <w:shd w:val="clear" w:color="auto" w:fill="E1DFDD"/>
    </w:rPr>
  </w:style>
  <w:style w:type="character" w:styleId="Strong">
    <w:name w:val="Strong"/>
    <w:uiPriority w:val="22"/>
    <w:qFormat/>
    <w:rsid w:val="0082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80">
      <w:bodyDiv w:val="1"/>
      <w:marLeft w:val="0"/>
      <w:marRight w:val="0"/>
      <w:marTop w:val="0"/>
      <w:marBottom w:val="0"/>
      <w:divBdr>
        <w:top w:val="none" w:sz="0" w:space="0" w:color="auto"/>
        <w:left w:val="none" w:sz="0" w:space="0" w:color="auto"/>
        <w:bottom w:val="none" w:sz="0" w:space="0" w:color="auto"/>
        <w:right w:val="none" w:sz="0" w:space="0" w:color="auto"/>
      </w:divBdr>
    </w:div>
    <w:div w:id="451018966">
      <w:bodyDiv w:val="1"/>
      <w:marLeft w:val="0"/>
      <w:marRight w:val="0"/>
      <w:marTop w:val="0"/>
      <w:marBottom w:val="0"/>
      <w:divBdr>
        <w:top w:val="none" w:sz="0" w:space="0" w:color="auto"/>
        <w:left w:val="none" w:sz="0" w:space="0" w:color="auto"/>
        <w:bottom w:val="none" w:sz="0" w:space="0" w:color="auto"/>
        <w:right w:val="none" w:sz="0" w:space="0" w:color="auto"/>
      </w:divBdr>
    </w:div>
    <w:div w:id="670177400">
      <w:bodyDiv w:val="1"/>
      <w:marLeft w:val="0"/>
      <w:marRight w:val="0"/>
      <w:marTop w:val="0"/>
      <w:marBottom w:val="0"/>
      <w:divBdr>
        <w:top w:val="none" w:sz="0" w:space="0" w:color="auto"/>
        <w:left w:val="none" w:sz="0" w:space="0" w:color="auto"/>
        <w:bottom w:val="none" w:sz="0" w:space="0" w:color="auto"/>
        <w:right w:val="none" w:sz="0" w:space="0" w:color="auto"/>
      </w:divBdr>
    </w:div>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9764877">
      <w:bodyDiv w:val="1"/>
      <w:marLeft w:val="0"/>
      <w:marRight w:val="0"/>
      <w:marTop w:val="0"/>
      <w:marBottom w:val="0"/>
      <w:divBdr>
        <w:top w:val="none" w:sz="0" w:space="0" w:color="auto"/>
        <w:left w:val="none" w:sz="0" w:space="0" w:color="auto"/>
        <w:bottom w:val="none" w:sz="0" w:space="0" w:color="auto"/>
        <w:right w:val="none" w:sz="0" w:space="0" w:color="auto"/>
      </w:divBdr>
      <w:divsChild>
        <w:div w:id="54259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481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557923">
      <w:bodyDiv w:val="1"/>
      <w:marLeft w:val="0"/>
      <w:marRight w:val="0"/>
      <w:marTop w:val="0"/>
      <w:marBottom w:val="0"/>
      <w:divBdr>
        <w:top w:val="none" w:sz="0" w:space="0" w:color="auto"/>
        <w:left w:val="none" w:sz="0" w:space="0" w:color="auto"/>
        <w:bottom w:val="none" w:sz="0" w:space="0" w:color="auto"/>
        <w:right w:val="none" w:sz="0" w:space="0" w:color="auto"/>
      </w:divBdr>
    </w:div>
    <w:div w:id="1540244859">
      <w:bodyDiv w:val="1"/>
      <w:marLeft w:val="0"/>
      <w:marRight w:val="0"/>
      <w:marTop w:val="0"/>
      <w:marBottom w:val="0"/>
      <w:divBdr>
        <w:top w:val="none" w:sz="0" w:space="0" w:color="auto"/>
        <w:left w:val="none" w:sz="0" w:space="0" w:color="auto"/>
        <w:bottom w:val="none" w:sz="0" w:space="0" w:color="auto"/>
        <w:right w:val="none" w:sz="0" w:space="0" w:color="auto"/>
      </w:divBdr>
    </w:div>
    <w:div w:id="1586763207">
      <w:bodyDiv w:val="1"/>
      <w:marLeft w:val="0"/>
      <w:marRight w:val="0"/>
      <w:marTop w:val="0"/>
      <w:marBottom w:val="0"/>
      <w:divBdr>
        <w:top w:val="none" w:sz="0" w:space="0" w:color="auto"/>
        <w:left w:val="none" w:sz="0" w:space="0" w:color="auto"/>
        <w:bottom w:val="none" w:sz="0" w:space="0" w:color="auto"/>
        <w:right w:val="none" w:sz="0" w:space="0" w:color="auto"/>
      </w:divBdr>
    </w:div>
    <w:div w:id="1714185313">
      <w:bodyDiv w:val="1"/>
      <w:marLeft w:val="0"/>
      <w:marRight w:val="0"/>
      <w:marTop w:val="0"/>
      <w:marBottom w:val="0"/>
      <w:divBdr>
        <w:top w:val="none" w:sz="0" w:space="0" w:color="auto"/>
        <w:left w:val="none" w:sz="0" w:space="0" w:color="auto"/>
        <w:bottom w:val="none" w:sz="0" w:space="0" w:color="auto"/>
        <w:right w:val="none" w:sz="0" w:space="0" w:color="auto"/>
      </w:divBdr>
    </w:div>
    <w:div w:id="1794401634">
      <w:bodyDiv w:val="1"/>
      <w:marLeft w:val="0"/>
      <w:marRight w:val="0"/>
      <w:marTop w:val="0"/>
      <w:marBottom w:val="0"/>
      <w:divBdr>
        <w:top w:val="none" w:sz="0" w:space="0" w:color="auto"/>
        <w:left w:val="none" w:sz="0" w:space="0" w:color="auto"/>
        <w:bottom w:val="none" w:sz="0" w:space="0" w:color="auto"/>
        <w:right w:val="none" w:sz="0" w:space="0" w:color="auto"/>
      </w:divBdr>
    </w:div>
    <w:div w:id="20443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virginia.edu/vpr/irb/sbs/resources_regulations_subparta.46.116.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83cd09e1c0f5c6937cd9d7513160fc3f&amp;pitd=20180719&amp;n=pt45.1.46&amp;r=PART&amp;ty=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83cd09e1c0f5c6937cd9d7513160fc3f&amp;pitd=20180719&amp;n=pt45.1.46&amp;r=PART&amp;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8513CD8894A4FB8FF8425620AD4CE" ma:contentTypeVersion="2" ma:contentTypeDescription="Create a new document." ma:contentTypeScope="" ma:versionID="1fe561fe435ef677021a3e930bdd1d36">
  <xsd:schema xmlns:xsd="http://www.w3.org/2001/XMLSchema" xmlns:xs="http://www.w3.org/2001/XMLSchema" xmlns:p="http://schemas.microsoft.com/office/2006/metadata/properties" xmlns:ns3="f0f0c3fe-8c5e-48b3-b7d8-f5c5fa73d776" targetNamespace="http://schemas.microsoft.com/office/2006/metadata/properties" ma:root="true" ma:fieldsID="9dcf175c8e4b29915b5d686180f24178" ns3:_="">
    <xsd:import namespace="f0f0c3fe-8c5e-48b3-b7d8-f5c5fa73d77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0c3fe-8c5e-48b3-b7d8-f5c5fa73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BDB5B-F17E-489B-B40F-0DAFA7B2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0c3fe-8c5e-48b3-b7d8-f5c5fa73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ED671-F174-4EAF-99B9-6C209B78E735}">
  <ds:schemaRefs>
    <ds:schemaRef ds:uri="http://schemas.microsoft.com/sharepoint/v3/contenttype/forms"/>
  </ds:schemaRefs>
</ds:datastoreItem>
</file>

<file path=customXml/itemProps3.xml><?xml version="1.0" encoding="utf-8"?>
<ds:datastoreItem xmlns:ds="http://schemas.openxmlformats.org/officeDocument/2006/customXml" ds:itemID="{E858A7FC-9EF0-46AE-89CC-BC01F8AA6729}">
  <ds:schemaRefs>
    <ds:schemaRef ds:uri="http://purl.org/dc/terms/"/>
    <ds:schemaRef ds:uri="f0f0c3fe-8c5e-48b3-b7d8-f5c5fa73d776"/>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076EAC3-C44A-4047-9B67-25B11E0A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2741</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Arturo  Magana</cp:lastModifiedBy>
  <cp:revision>2</cp:revision>
  <cp:lastPrinted>2019-08-26T20:01:00Z</cp:lastPrinted>
  <dcterms:created xsi:type="dcterms:W3CDTF">2019-08-26T23:32:00Z</dcterms:created>
  <dcterms:modified xsi:type="dcterms:W3CDTF">2019-08-26T23:32:00Z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0x010100F738513CD8894A4FB8FF8425620AD4CE</vt:lpwstr>
  </property>
</Properties>
</file>